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jc w:val="center"/>
        <w:rPr>
          <w:rFonts w:hint="eastAsia" w:ascii="宋体" w:hAnsi="宋体" w:eastAsia="宋体" w:cs="宋体"/>
          <w:b/>
          <w:bCs/>
          <w:kern w:val="0"/>
          <w:sz w:val="32"/>
          <w:szCs w:val="32"/>
          <w:lang w:val="en-US" w:eastAsia="zh-CN"/>
        </w:rPr>
      </w:pPr>
      <w:r>
        <w:rPr>
          <w:rFonts w:hint="eastAsia" w:ascii="宋体" w:hAnsi="宋体" w:eastAsia="宋体" w:cs="宋体"/>
          <w:b/>
          <w:bCs/>
          <w:kern w:val="0"/>
          <w:sz w:val="32"/>
          <w:szCs w:val="32"/>
          <w:lang w:val="en-US" w:eastAsia="zh-Hans"/>
        </w:rPr>
        <w:t>湖北省健康医疗大数据中心暨公共卫生应急管理平台建设项目（二期）——软件测评</w:t>
      </w:r>
      <w:r>
        <w:rPr>
          <w:rFonts w:hint="eastAsia" w:ascii="宋体" w:hAnsi="宋体" w:eastAsia="宋体" w:cs="宋体"/>
          <w:b/>
          <w:bCs/>
          <w:kern w:val="0"/>
          <w:sz w:val="32"/>
          <w:szCs w:val="32"/>
          <w:lang w:val="en-US" w:eastAsia="zh-CN"/>
        </w:rPr>
        <w:t>服务采购需求</w:t>
      </w:r>
    </w:p>
    <w:p>
      <w:pPr>
        <w:adjustRightInd w:val="0"/>
        <w:snapToGrid w:val="0"/>
        <w:spacing w:line="440" w:lineRule="exact"/>
        <w:ind w:left="360" w:hanging="360" w:hangingChars="150"/>
        <w:jc w:val="center"/>
        <w:rPr>
          <w:rFonts w:ascii="仿宋_GB2312" w:eastAsia="仿宋_GB2312"/>
          <w:color w:val="000000" w:themeColor="text1"/>
          <w:sz w:val="24"/>
          <w:szCs w:val="28"/>
          <w14:textFill>
            <w14:solidFill>
              <w14:schemeClr w14:val="tx1"/>
            </w14:solidFill>
          </w14:textFill>
        </w:rPr>
      </w:pPr>
    </w:p>
    <w:p>
      <w:pPr>
        <w:adjustRightInd w:val="0"/>
        <w:snapToGrid w:val="0"/>
        <w:spacing w:line="360" w:lineRule="auto"/>
        <w:ind w:firstLine="480" w:firstLineChars="200"/>
        <w:outlineLvl w:val="0"/>
        <w:rPr>
          <w:rFonts w:ascii="黑体" w:hAnsi="黑体" w:eastAsia="黑体"/>
          <w:bCs/>
          <w:color w:val="000000" w:themeColor="text1"/>
          <w:sz w:val="24"/>
          <w:szCs w:val="28"/>
          <w14:textFill>
            <w14:solidFill>
              <w14:schemeClr w14:val="tx1"/>
            </w14:solidFill>
          </w14:textFill>
        </w:rPr>
      </w:pPr>
      <w:r>
        <w:rPr>
          <w:rFonts w:hint="eastAsia" w:ascii="黑体" w:hAnsi="黑体" w:eastAsia="黑体"/>
          <w:bCs/>
          <w:color w:val="000000" w:themeColor="text1"/>
          <w:sz w:val="24"/>
          <w:szCs w:val="28"/>
          <w14:textFill>
            <w14:solidFill>
              <w14:schemeClr w14:val="tx1"/>
            </w14:solidFill>
          </w14:textFill>
        </w:rPr>
        <w:t>第一部分：供应商资格要求</w:t>
      </w:r>
    </w:p>
    <w:p>
      <w:pPr>
        <w:adjustRightInd w:val="0"/>
        <w:snapToGrid w:val="0"/>
        <w:spacing w:line="360" w:lineRule="auto"/>
        <w:ind w:firstLine="480" w:firstLineChars="200"/>
        <w:jc w:val="left"/>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1.1应具备《政府采购法》第二十二条第一款规定的条件；</w:t>
      </w:r>
    </w:p>
    <w:p>
      <w:pPr>
        <w:adjustRightInd w:val="0"/>
        <w:snapToGrid w:val="0"/>
        <w:spacing w:line="360" w:lineRule="auto"/>
        <w:ind w:firstLine="480" w:firstLineChars="200"/>
        <w:jc w:val="left"/>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1.2未被列入“信用中国”或“中国政府采购网”中的失信被执行人、重大税收违法案件当事人名单、政府采购严重违法失信行为记录名单；</w:t>
      </w:r>
    </w:p>
    <w:p>
      <w:pPr>
        <w:adjustRightInd w:val="0"/>
        <w:snapToGrid w:val="0"/>
        <w:spacing w:line="360" w:lineRule="auto"/>
        <w:ind w:firstLine="480" w:firstLineChars="200"/>
        <w:jc w:val="left"/>
        <w:rPr>
          <w:rFonts w:ascii="仿宋_GB2312" w:hAnsi="Times New Roman" w:eastAsia="仿宋_GB2312"/>
          <w:sz w:val="24"/>
          <w:szCs w:val="28"/>
          <w:highlight w:val="none"/>
        </w:rPr>
      </w:pPr>
      <w:r>
        <w:rPr>
          <w:rFonts w:hint="eastAsia" w:ascii="仿宋_GB2312" w:hAnsi="Times New Roman" w:eastAsia="仿宋_GB2312"/>
          <w:sz w:val="24"/>
          <w:szCs w:val="28"/>
          <w:highlight w:val="none"/>
        </w:rPr>
        <w:t>1.3为湖北省健康医疗大数据中心暨公共卫生应急管理平台项目（二期）——湖北省“323”专病防治应用信息系统建设提供整体设计、项目管理、工程审计及造价、</w:t>
      </w:r>
      <w:r>
        <w:rPr>
          <w:rFonts w:hint="eastAsia" w:ascii="仿宋_GB2312" w:hAnsi="Times New Roman" w:eastAsia="仿宋_GB2312"/>
          <w:sz w:val="24"/>
          <w:szCs w:val="28"/>
          <w:highlight w:val="none"/>
          <w:lang w:val="en-US" w:eastAsia="zh-CN"/>
        </w:rPr>
        <w:t>监理</w:t>
      </w:r>
      <w:r>
        <w:rPr>
          <w:rFonts w:hint="eastAsia" w:ascii="仿宋_GB2312" w:hAnsi="Times New Roman" w:eastAsia="仿宋_GB2312"/>
          <w:sz w:val="24"/>
          <w:szCs w:val="28"/>
          <w:highlight w:val="none"/>
        </w:rPr>
        <w:t>等服务的，不得再参加本项目的招标采购活动；</w:t>
      </w:r>
    </w:p>
    <w:p>
      <w:pPr>
        <w:adjustRightInd w:val="0"/>
        <w:snapToGrid w:val="0"/>
        <w:spacing w:line="360" w:lineRule="auto"/>
        <w:ind w:firstLine="480" w:firstLineChars="200"/>
        <w:jc w:val="left"/>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1.4本项目不接受联合体投标。</w:t>
      </w:r>
    </w:p>
    <w:p>
      <w:pPr>
        <w:adjustRightInd w:val="0"/>
        <w:snapToGrid w:val="0"/>
        <w:spacing w:line="360" w:lineRule="auto"/>
        <w:ind w:firstLine="480" w:firstLineChars="200"/>
        <w:outlineLvl w:val="0"/>
        <w:rPr>
          <w:rFonts w:hint="eastAsia" w:ascii="黑体" w:hAnsi="黑体" w:eastAsia="黑体"/>
          <w:bCs/>
          <w:color w:val="000000" w:themeColor="text1"/>
          <w:sz w:val="24"/>
          <w:szCs w:val="28"/>
          <w14:textFill>
            <w14:solidFill>
              <w14:schemeClr w14:val="tx1"/>
            </w14:solidFill>
          </w14:textFill>
        </w:rPr>
      </w:pPr>
    </w:p>
    <w:p>
      <w:pPr>
        <w:adjustRightInd w:val="0"/>
        <w:snapToGrid w:val="0"/>
        <w:spacing w:line="360" w:lineRule="auto"/>
        <w:ind w:firstLine="480" w:firstLineChars="200"/>
        <w:outlineLvl w:val="0"/>
        <w:rPr>
          <w:rFonts w:ascii="黑体" w:hAnsi="黑体" w:eastAsia="黑体"/>
          <w:bCs/>
          <w:color w:val="000000" w:themeColor="text1"/>
          <w:sz w:val="24"/>
          <w:szCs w:val="28"/>
          <w14:textFill>
            <w14:solidFill>
              <w14:schemeClr w14:val="tx1"/>
            </w14:solidFill>
          </w14:textFill>
        </w:rPr>
      </w:pPr>
      <w:r>
        <w:rPr>
          <w:rFonts w:hint="eastAsia" w:ascii="黑体" w:hAnsi="黑体" w:eastAsia="黑体"/>
          <w:bCs/>
          <w:color w:val="000000" w:themeColor="text1"/>
          <w:sz w:val="24"/>
          <w:szCs w:val="28"/>
          <w14:textFill>
            <w14:solidFill>
              <w14:schemeClr w14:val="tx1"/>
            </w14:solidFill>
          </w14:textFill>
        </w:rPr>
        <w:t>第二部分：采购内容</w:t>
      </w:r>
    </w:p>
    <w:p>
      <w:pPr>
        <w:adjustRightInd w:val="0"/>
        <w:snapToGrid w:val="0"/>
        <w:spacing w:line="360" w:lineRule="auto"/>
        <w:ind w:firstLine="480" w:firstLineChars="200"/>
        <w:jc w:val="left"/>
        <w:outlineLvl w:val="1"/>
        <w:rPr>
          <w:rFonts w:ascii="黑体" w:hAnsi="黑体" w:eastAsia="黑体"/>
          <w:color w:val="000000" w:themeColor="text1"/>
          <w:sz w:val="24"/>
          <w:szCs w:val="28"/>
          <w14:textFill>
            <w14:solidFill>
              <w14:schemeClr w14:val="tx1"/>
            </w14:solidFill>
          </w14:textFill>
        </w:rPr>
      </w:pPr>
      <w:r>
        <w:rPr>
          <w:rFonts w:hint="eastAsia" w:ascii="黑体" w:hAnsi="黑体" w:eastAsia="黑体"/>
          <w:color w:val="000000" w:themeColor="text1"/>
          <w:sz w:val="24"/>
          <w:szCs w:val="28"/>
          <w14:textFill>
            <w14:solidFill>
              <w14:schemeClr w14:val="tx1"/>
            </w14:solidFill>
          </w14:textFill>
        </w:rPr>
        <w:t>一、采购内容：</w:t>
      </w:r>
    </w:p>
    <w:tbl>
      <w:tblPr>
        <w:tblStyle w:val="17"/>
        <w:tblpPr w:leftFromText="180" w:rightFromText="180" w:vertAnchor="text" w:horzAnchor="margin" w:tblpXSpec="center" w:tblpY="37"/>
        <w:tblW w:w="9204" w:type="dxa"/>
        <w:jc w:val="center"/>
        <w:tblBorders>
          <w:top w:val="single" w:color="auto" w:sz="8" w:space="0"/>
          <w:left w:val="single" w:color="auto" w:sz="8" w:space="0"/>
          <w:bottom w:val="single" w:color="auto" w:sz="4" w:space="0"/>
          <w:right w:val="single" w:color="auto" w:sz="8" w:space="0"/>
          <w:insideH w:val="single" w:color="auto" w:sz="2" w:space="0"/>
          <w:insideV w:val="single" w:color="auto" w:sz="2" w:space="0"/>
        </w:tblBorders>
        <w:tblLayout w:type="autofit"/>
        <w:tblCellMar>
          <w:top w:w="0" w:type="dxa"/>
          <w:left w:w="108" w:type="dxa"/>
          <w:bottom w:w="0" w:type="dxa"/>
          <w:right w:w="108" w:type="dxa"/>
        </w:tblCellMar>
      </w:tblPr>
      <w:tblGrid>
        <w:gridCol w:w="1124"/>
        <w:gridCol w:w="5670"/>
        <w:gridCol w:w="1134"/>
        <w:gridCol w:w="1276"/>
      </w:tblGrid>
      <w:tr>
        <w:tblPrEx>
          <w:tblBorders>
            <w:top w:val="single" w:color="auto" w:sz="8" w:space="0"/>
            <w:left w:val="single" w:color="auto" w:sz="8" w:space="0"/>
            <w:bottom w:val="single" w:color="auto" w:sz="4"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548" w:hRule="atLeast"/>
          <w:jc w:val="center"/>
        </w:trPr>
        <w:tc>
          <w:tcPr>
            <w:tcW w:w="1124" w:type="dxa"/>
            <w:shd w:val="clear" w:color="auto" w:fill="F2F2F2"/>
            <w:vAlign w:val="center"/>
          </w:tcPr>
          <w:p>
            <w:pPr>
              <w:adjustRightInd w:val="0"/>
              <w:snapToGrid w:val="0"/>
              <w:spacing w:line="360" w:lineRule="auto"/>
              <w:jc w:val="center"/>
              <w:rPr>
                <w:rFonts w:hint="eastAsia" w:ascii="仿宋_GB2312" w:hAnsi="Times New Roman" w:eastAsia="仿宋_GB2312" w:cs="Times New Roman"/>
                <w:sz w:val="24"/>
                <w:szCs w:val="28"/>
                <w:lang w:val="en-US" w:eastAsia="zh-CN"/>
              </w:rPr>
            </w:pPr>
            <w:r>
              <w:rPr>
                <w:rFonts w:hint="eastAsia" w:ascii="仿宋_GB2312" w:hAnsi="Times New Roman" w:eastAsia="仿宋_GB2312" w:cs="Times New Roman"/>
                <w:sz w:val="24"/>
                <w:szCs w:val="28"/>
                <w:lang w:val="en-US" w:eastAsia="zh-CN"/>
              </w:rPr>
              <w:t>序号</w:t>
            </w:r>
          </w:p>
        </w:tc>
        <w:tc>
          <w:tcPr>
            <w:tcW w:w="5670" w:type="dxa"/>
            <w:shd w:val="clear" w:color="auto" w:fill="F2F2F2"/>
            <w:vAlign w:val="center"/>
          </w:tcPr>
          <w:p>
            <w:pPr>
              <w:adjustRightInd w:val="0"/>
              <w:snapToGrid w:val="0"/>
              <w:spacing w:line="360" w:lineRule="auto"/>
              <w:jc w:val="center"/>
              <w:rPr>
                <w:rFonts w:hint="eastAsia" w:ascii="仿宋_GB2312" w:hAnsi="Times New Roman" w:eastAsia="仿宋_GB2312" w:cs="Times New Roman"/>
                <w:sz w:val="24"/>
                <w:szCs w:val="28"/>
                <w:lang w:val="en-US" w:eastAsia="zh-CN"/>
              </w:rPr>
            </w:pPr>
            <w:r>
              <w:rPr>
                <w:rFonts w:hint="eastAsia" w:ascii="仿宋_GB2312" w:hAnsi="Times New Roman" w:eastAsia="仿宋_GB2312" w:cs="Times New Roman"/>
                <w:sz w:val="24"/>
                <w:szCs w:val="28"/>
                <w:lang w:val="en-US" w:eastAsia="zh-CN"/>
              </w:rPr>
              <w:t>名称</w:t>
            </w:r>
          </w:p>
        </w:tc>
        <w:tc>
          <w:tcPr>
            <w:tcW w:w="1134" w:type="dxa"/>
            <w:shd w:val="clear" w:color="auto" w:fill="F2F2F2"/>
            <w:vAlign w:val="center"/>
          </w:tcPr>
          <w:p>
            <w:pPr>
              <w:adjustRightInd w:val="0"/>
              <w:snapToGrid w:val="0"/>
              <w:jc w:val="center"/>
              <w:rPr>
                <w:rFonts w:ascii="仿宋_GB2312" w:eastAsia="仿宋_GB2312"/>
                <w:sz w:val="24"/>
                <w:szCs w:val="28"/>
              </w:rPr>
            </w:pPr>
            <w:r>
              <w:rPr>
                <w:rFonts w:hint="eastAsia" w:ascii="仿宋_GB2312" w:eastAsia="仿宋_GB2312"/>
                <w:sz w:val="24"/>
                <w:szCs w:val="28"/>
              </w:rPr>
              <w:t>数量</w:t>
            </w:r>
          </w:p>
        </w:tc>
        <w:tc>
          <w:tcPr>
            <w:tcW w:w="1276" w:type="dxa"/>
            <w:shd w:val="clear" w:color="auto" w:fill="F2F2F2"/>
            <w:vAlign w:val="center"/>
          </w:tcPr>
          <w:p>
            <w:pPr>
              <w:adjustRightInd w:val="0"/>
              <w:snapToGrid w:val="0"/>
              <w:jc w:val="center"/>
              <w:rPr>
                <w:rFonts w:ascii="仿宋_GB2312" w:eastAsia="仿宋_GB2312"/>
                <w:sz w:val="24"/>
                <w:szCs w:val="28"/>
              </w:rPr>
            </w:pPr>
            <w:r>
              <w:rPr>
                <w:rFonts w:hint="eastAsia" w:ascii="仿宋_GB2312" w:eastAsia="仿宋_GB2312"/>
                <w:sz w:val="24"/>
                <w:szCs w:val="28"/>
              </w:rPr>
              <w:t>单位</w:t>
            </w:r>
          </w:p>
        </w:tc>
      </w:tr>
      <w:tr>
        <w:tblPrEx>
          <w:tblBorders>
            <w:top w:val="single" w:color="auto" w:sz="8" w:space="0"/>
            <w:left w:val="single" w:color="auto" w:sz="8" w:space="0"/>
            <w:bottom w:val="single" w:color="auto" w:sz="4"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849" w:hRule="exact"/>
          <w:jc w:val="center"/>
        </w:trPr>
        <w:tc>
          <w:tcPr>
            <w:tcW w:w="1124" w:type="dxa"/>
            <w:shd w:val="clear" w:color="auto" w:fill="auto"/>
            <w:vAlign w:val="center"/>
          </w:tcPr>
          <w:p>
            <w:pPr>
              <w:adjustRightInd w:val="0"/>
              <w:snapToGrid w:val="0"/>
              <w:spacing w:line="360" w:lineRule="auto"/>
              <w:jc w:val="center"/>
              <w:rPr>
                <w:rFonts w:hint="eastAsia" w:ascii="仿宋_GB2312" w:hAnsi="Times New Roman" w:eastAsia="仿宋_GB2312" w:cs="Times New Roman"/>
                <w:sz w:val="24"/>
                <w:szCs w:val="28"/>
                <w:lang w:val="en-US" w:eastAsia="zh-CN"/>
              </w:rPr>
            </w:pPr>
            <w:r>
              <w:rPr>
                <w:rFonts w:hint="eastAsia" w:ascii="仿宋_GB2312" w:hAnsi="Times New Roman" w:eastAsia="仿宋_GB2312" w:cs="Times New Roman"/>
                <w:sz w:val="24"/>
                <w:szCs w:val="28"/>
                <w:lang w:val="en-US" w:eastAsia="zh-CN"/>
              </w:rPr>
              <w:t>1</w:t>
            </w:r>
          </w:p>
        </w:tc>
        <w:tc>
          <w:tcPr>
            <w:tcW w:w="5670" w:type="dxa"/>
            <w:shd w:val="clear" w:color="auto" w:fill="auto"/>
            <w:vAlign w:val="center"/>
          </w:tcPr>
          <w:p>
            <w:pPr>
              <w:adjustRightInd w:val="0"/>
              <w:snapToGrid w:val="0"/>
              <w:spacing w:line="360" w:lineRule="auto"/>
              <w:jc w:val="left"/>
              <w:rPr>
                <w:rFonts w:hint="eastAsia" w:ascii="仿宋_GB2312" w:hAnsi="Times New Roman" w:eastAsia="仿宋_GB2312" w:cs="Times New Roman"/>
                <w:sz w:val="24"/>
                <w:szCs w:val="28"/>
                <w:lang w:val="en-US" w:eastAsia="zh-CN"/>
              </w:rPr>
            </w:pPr>
            <w:r>
              <w:rPr>
                <w:rFonts w:hint="eastAsia" w:ascii="仿宋_GB2312" w:hAnsi="Times New Roman" w:eastAsia="仿宋_GB2312" w:cs="Times New Roman"/>
                <w:sz w:val="24"/>
                <w:szCs w:val="28"/>
                <w:lang w:val="en-US" w:eastAsia="zh-Hans"/>
              </w:rPr>
              <w:t>湖北省健康医疗大数据中心暨公共卫生应急管理平台建设项目（二期）——</w:t>
            </w:r>
            <w:bookmarkStart w:id="3" w:name="_GoBack"/>
            <w:bookmarkEnd w:id="3"/>
            <w:r>
              <w:rPr>
                <w:rFonts w:hint="eastAsia" w:ascii="仿宋_GB2312" w:hAnsi="Times New Roman" w:eastAsia="仿宋_GB2312" w:cs="Times New Roman"/>
                <w:sz w:val="24"/>
                <w:szCs w:val="28"/>
                <w:lang w:val="en-US" w:eastAsia="zh-Hans"/>
              </w:rPr>
              <w:t>软件测评</w:t>
            </w:r>
            <w:r>
              <w:rPr>
                <w:rFonts w:hint="eastAsia" w:ascii="仿宋_GB2312" w:hAnsi="Times New Roman" w:eastAsia="仿宋_GB2312" w:cs="Times New Roman"/>
                <w:sz w:val="24"/>
                <w:szCs w:val="28"/>
                <w:lang w:val="en-US" w:eastAsia="zh-CN"/>
              </w:rPr>
              <w:t>服务采购需求</w:t>
            </w:r>
          </w:p>
        </w:tc>
        <w:tc>
          <w:tcPr>
            <w:tcW w:w="1134" w:type="dxa"/>
            <w:shd w:val="clear" w:color="auto" w:fill="auto"/>
            <w:vAlign w:val="center"/>
          </w:tcPr>
          <w:p>
            <w:pPr>
              <w:adjustRightInd w:val="0"/>
              <w:snapToGrid w:val="0"/>
              <w:spacing w:line="360" w:lineRule="auto"/>
              <w:jc w:val="center"/>
              <w:rPr>
                <w:rFonts w:ascii="仿宋_GB2312" w:eastAsia="仿宋_GB2312"/>
                <w:sz w:val="24"/>
                <w:szCs w:val="28"/>
              </w:rPr>
            </w:pPr>
            <w:r>
              <w:rPr>
                <w:rFonts w:hint="eastAsia" w:ascii="仿宋_GB2312" w:eastAsia="仿宋_GB2312"/>
                <w:sz w:val="24"/>
                <w:szCs w:val="28"/>
              </w:rPr>
              <w:t>1</w:t>
            </w:r>
          </w:p>
        </w:tc>
        <w:tc>
          <w:tcPr>
            <w:tcW w:w="1276" w:type="dxa"/>
            <w:shd w:val="clear" w:color="auto" w:fill="auto"/>
            <w:vAlign w:val="center"/>
          </w:tcPr>
          <w:p>
            <w:pPr>
              <w:adjustRightInd w:val="0"/>
              <w:snapToGrid w:val="0"/>
              <w:spacing w:line="360" w:lineRule="auto"/>
              <w:jc w:val="center"/>
              <w:rPr>
                <w:rFonts w:ascii="仿宋_GB2312" w:eastAsia="仿宋_GB2312"/>
                <w:sz w:val="24"/>
                <w:szCs w:val="28"/>
              </w:rPr>
            </w:pPr>
            <w:r>
              <w:rPr>
                <w:rFonts w:hint="eastAsia" w:ascii="仿宋_GB2312" w:eastAsia="仿宋_GB2312"/>
                <w:sz w:val="24"/>
                <w:szCs w:val="28"/>
              </w:rPr>
              <w:t>项</w:t>
            </w:r>
          </w:p>
        </w:tc>
      </w:tr>
    </w:tbl>
    <w:p>
      <w:pPr>
        <w:adjustRightInd w:val="0"/>
        <w:snapToGrid w:val="0"/>
        <w:spacing w:line="360" w:lineRule="auto"/>
        <w:ind w:firstLine="480" w:firstLineChars="200"/>
        <w:jc w:val="center"/>
        <w:rPr>
          <w:rFonts w:ascii="仿宋_GB2312" w:hAnsi="Times New Roman" w:eastAsia="仿宋_GB2312"/>
          <w:color w:val="000000" w:themeColor="text1"/>
          <w:sz w:val="24"/>
          <w:szCs w:val="28"/>
          <w14:textFill>
            <w14:solidFill>
              <w14:schemeClr w14:val="tx1"/>
            </w14:solidFill>
          </w14:textFill>
        </w:rPr>
      </w:pPr>
    </w:p>
    <w:p>
      <w:pPr>
        <w:adjustRightInd w:val="0"/>
        <w:snapToGrid w:val="0"/>
        <w:spacing w:line="360" w:lineRule="auto"/>
        <w:ind w:firstLine="480" w:firstLineChars="200"/>
        <w:jc w:val="left"/>
        <w:outlineLvl w:val="1"/>
        <w:rPr>
          <w:rFonts w:ascii="黑体" w:hAnsi="黑体" w:eastAsia="黑体"/>
          <w:color w:val="000000" w:themeColor="text1"/>
          <w:sz w:val="24"/>
          <w:szCs w:val="28"/>
          <w14:textFill>
            <w14:solidFill>
              <w14:schemeClr w14:val="tx1"/>
            </w14:solidFill>
          </w14:textFill>
        </w:rPr>
      </w:pPr>
      <w:r>
        <w:rPr>
          <w:rFonts w:hint="eastAsia" w:ascii="黑体" w:hAnsi="黑体" w:eastAsia="黑体"/>
          <w:color w:val="000000" w:themeColor="text1"/>
          <w:sz w:val="24"/>
          <w:szCs w:val="28"/>
          <w14:textFill>
            <w14:solidFill>
              <w14:schemeClr w14:val="tx1"/>
            </w14:solidFill>
          </w14:textFill>
        </w:rPr>
        <w:t>二、采购预算：</w:t>
      </w:r>
      <w:r>
        <w:rPr>
          <w:rFonts w:ascii="仿宋_GB2312" w:hAnsi="Times New Roman" w:eastAsia="仿宋_GB2312"/>
          <w:color w:val="000000" w:themeColor="text1"/>
          <w:sz w:val="24"/>
          <w:szCs w:val="28"/>
          <w14:textFill>
            <w14:solidFill>
              <w14:schemeClr w14:val="tx1"/>
            </w14:solidFill>
          </w14:textFill>
        </w:rPr>
        <w:t>27.</w:t>
      </w:r>
      <w:r>
        <w:rPr>
          <w:rFonts w:hint="eastAsia" w:ascii="仿宋_GB2312" w:hAnsi="Times New Roman" w:eastAsia="仿宋_GB2312"/>
          <w:color w:val="000000" w:themeColor="text1"/>
          <w:sz w:val="24"/>
          <w:szCs w:val="28"/>
          <w:lang w:val="en-US" w:eastAsia="zh-CN"/>
          <w14:textFill>
            <w14:solidFill>
              <w14:schemeClr w14:val="tx1"/>
            </w14:solidFill>
          </w14:textFill>
        </w:rPr>
        <w:t>91</w:t>
      </w:r>
      <w:r>
        <w:rPr>
          <w:rFonts w:hint="eastAsia" w:ascii="仿宋_GB2312" w:hAnsi="Times New Roman" w:eastAsia="仿宋_GB2312"/>
          <w:color w:val="000000" w:themeColor="text1"/>
          <w:sz w:val="24"/>
          <w:szCs w:val="28"/>
          <w14:textFill>
            <w14:solidFill>
              <w14:schemeClr w14:val="tx1"/>
            </w14:solidFill>
          </w14:textFill>
        </w:rPr>
        <w:t>万元。</w:t>
      </w:r>
      <w:r>
        <w:rPr>
          <w:rFonts w:hint="eastAsia" w:ascii="黑体" w:hAnsi="黑体" w:eastAsia="黑体"/>
          <w:color w:val="000000" w:themeColor="text1"/>
          <w:sz w:val="24"/>
          <w:szCs w:val="28"/>
          <w14:textFill>
            <w14:solidFill>
              <w14:schemeClr w14:val="tx1"/>
            </w14:solidFill>
          </w14:textFill>
        </w:rPr>
        <w:t xml:space="preserve"> </w:t>
      </w:r>
    </w:p>
    <w:p>
      <w:pPr>
        <w:adjustRightInd w:val="0"/>
        <w:snapToGrid w:val="0"/>
        <w:spacing w:line="360" w:lineRule="auto"/>
        <w:ind w:firstLine="480" w:firstLineChars="200"/>
        <w:jc w:val="left"/>
        <w:outlineLvl w:val="1"/>
        <w:rPr>
          <w:rFonts w:ascii="黑体" w:hAnsi="黑体" w:eastAsia="黑体"/>
          <w:color w:val="000000" w:themeColor="text1"/>
          <w:sz w:val="24"/>
          <w:szCs w:val="28"/>
          <w14:textFill>
            <w14:solidFill>
              <w14:schemeClr w14:val="tx1"/>
            </w14:solidFill>
          </w14:textFill>
        </w:rPr>
      </w:pPr>
      <w:r>
        <w:rPr>
          <w:rFonts w:hint="eastAsia" w:ascii="黑体" w:hAnsi="黑体" w:eastAsia="黑体"/>
          <w:color w:val="000000" w:themeColor="text1"/>
          <w:sz w:val="24"/>
          <w:szCs w:val="28"/>
          <w14:textFill>
            <w14:solidFill>
              <w14:schemeClr w14:val="tx1"/>
            </w14:solidFill>
          </w14:textFill>
        </w:rPr>
        <w:t>三、交付时间、地点</w:t>
      </w:r>
    </w:p>
    <w:p>
      <w:pPr>
        <w:adjustRightInd w:val="0"/>
        <w:snapToGrid w:val="0"/>
        <w:spacing w:line="360" w:lineRule="auto"/>
        <w:ind w:firstLine="480" w:firstLineChars="200"/>
        <w:jc w:val="left"/>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3.1交付时间：在合同中约定，具体以项目进度为准。</w:t>
      </w:r>
    </w:p>
    <w:p>
      <w:pPr>
        <w:adjustRightInd w:val="0"/>
        <w:snapToGrid w:val="0"/>
        <w:spacing w:line="360" w:lineRule="auto"/>
        <w:ind w:firstLine="480" w:firstLineChars="200"/>
        <w:jc w:val="left"/>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3.2交付地点：采购人指定地点。</w:t>
      </w:r>
    </w:p>
    <w:p>
      <w:pPr>
        <w:adjustRightInd w:val="0"/>
        <w:snapToGrid w:val="0"/>
        <w:spacing w:line="360" w:lineRule="auto"/>
        <w:ind w:firstLine="480" w:firstLineChars="200"/>
        <w:jc w:val="left"/>
        <w:outlineLvl w:val="1"/>
        <w:rPr>
          <w:rFonts w:ascii="黑体" w:hAnsi="黑体" w:eastAsia="黑体"/>
          <w:color w:val="000000" w:themeColor="text1"/>
          <w:sz w:val="24"/>
          <w:szCs w:val="28"/>
          <w14:textFill>
            <w14:solidFill>
              <w14:schemeClr w14:val="tx1"/>
            </w14:solidFill>
          </w14:textFill>
        </w:rPr>
      </w:pPr>
      <w:r>
        <w:rPr>
          <w:rFonts w:hint="eastAsia" w:ascii="黑体" w:hAnsi="黑体" w:eastAsia="黑体"/>
          <w:color w:val="000000" w:themeColor="text1"/>
          <w:sz w:val="24"/>
          <w:szCs w:val="28"/>
          <w14:textFill>
            <w14:solidFill>
              <w14:schemeClr w14:val="tx1"/>
            </w14:solidFill>
          </w14:textFill>
        </w:rPr>
        <w:t>四、采购内容及要求</w:t>
      </w:r>
    </w:p>
    <w:p>
      <w:pPr>
        <w:adjustRightInd w:val="0"/>
        <w:snapToGrid w:val="0"/>
        <w:spacing w:line="360" w:lineRule="auto"/>
        <w:ind w:firstLine="480" w:firstLineChars="200"/>
        <w:outlineLvl w:val="2"/>
        <w:rPr>
          <w:rFonts w:ascii="仿宋_GB2312" w:hAnsi="Times New Roman" w:eastAsia="仿宋_GB2312"/>
          <w:b/>
          <w:bCs/>
          <w:color w:val="000000" w:themeColor="text1"/>
          <w:sz w:val="24"/>
          <w:szCs w:val="28"/>
          <w14:textFill>
            <w14:solidFill>
              <w14:schemeClr w14:val="tx1"/>
            </w14:solidFill>
          </w14:textFill>
        </w:rPr>
      </w:pPr>
      <w:r>
        <w:rPr>
          <w:rFonts w:hint="eastAsia" w:ascii="仿宋_GB2312" w:hAnsi="Times New Roman" w:eastAsia="仿宋_GB2312"/>
          <w:b/>
          <w:bCs/>
          <w:color w:val="000000" w:themeColor="text1"/>
          <w:sz w:val="24"/>
          <w:szCs w:val="28"/>
          <w14:textFill>
            <w14:solidFill>
              <w14:schemeClr w14:val="tx1"/>
            </w14:solidFill>
          </w14:textFill>
        </w:rPr>
        <w:t>4.1</w:t>
      </w:r>
      <w:bookmarkStart w:id="0" w:name="_Toc11103586"/>
      <w:r>
        <w:rPr>
          <w:rFonts w:hint="eastAsia" w:ascii="仿宋_GB2312" w:hAnsi="Times New Roman" w:eastAsia="仿宋_GB2312"/>
          <w:b/>
          <w:bCs/>
          <w:color w:val="000000" w:themeColor="text1"/>
          <w:sz w:val="24"/>
          <w:szCs w:val="28"/>
          <w14:textFill>
            <w14:solidFill>
              <w14:schemeClr w14:val="tx1"/>
            </w14:solidFill>
          </w14:textFill>
        </w:rPr>
        <w:t>项目</w:t>
      </w:r>
      <w:bookmarkEnd w:id="0"/>
      <w:bookmarkStart w:id="1" w:name="_Toc339378680"/>
      <w:bookmarkStart w:id="2" w:name="_Toc338065594"/>
      <w:r>
        <w:rPr>
          <w:rFonts w:hint="eastAsia" w:ascii="仿宋_GB2312" w:hAnsi="Times New Roman" w:eastAsia="仿宋_GB2312"/>
          <w:b/>
          <w:bCs/>
          <w:color w:val="000000" w:themeColor="text1"/>
          <w:sz w:val="24"/>
          <w:szCs w:val="28"/>
          <w14:textFill>
            <w14:solidFill>
              <w14:schemeClr w14:val="tx1"/>
            </w14:solidFill>
          </w14:textFill>
        </w:rPr>
        <w:t>概况</w:t>
      </w:r>
    </w:p>
    <w:p>
      <w:pPr>
        <w:adjustRightInd w:val="0"/>
        <w:snapToGrid w:val="0"/>
        <w:spacing w:line="360" w:lineRule="auto"/>
        <w:ind w:firstLine="480" w:firstLineChars="200"/>
        <w:outlineLvl w:val="3"/>
        <w:rPr>
          <w:rFonts w:ascii="仿宋_GB2312" w:hAnsi="Times New Roman" w:eastAsia="仿宋_GB2312"/>
          <w:b/>
          <w:color w:val="000000" w:themeColor="text1"/>
          <w:sz w:val="24"/>
          <w:szCs w:val="28"/>
          <w14:textFill>
            <w14:solidFill>
              <w14:schemeClr w14:val="tx1"/>
            </w14:solidFill>
          </w14:textFill>
        </w:rPr>
      </w:pPr>
      <w:r>
        <w:rPr>
          <w:rFonts w:hint="eastAsia" w:ascii="仿宋_GB2312" w:hAnsi="Times New Roman" w:eastAsia="仿宋_GB2312"/>
          <w:b/>
          <w:color w:val="000000" w:themeColor="text1"/>
          <w:sz w:val="24"/>
          <w:szCs w:val="28"/>
          <w14:textFill>
            <w14:solidFill>
              <w14:schemeClr w14:val="tx1"/>
            </w14:solidFill>
          </w14:textFill>
        </w:rPr>
        <w:t>4</w:t>
      </w:r>
      <w:r>
        <w:rPr>
          <w:rFonts w:ascii="仿宋_GB2312" w:hAnsi="Times New Roman" w:eastAsia="仿宋_GB2312"/>
          <w:b/>
          <w:color w:val="000000" w:themeColor="text1"/>
          <w:sz w:val="24"/>
          <w:szCs w:val="28"/>
          <w14:textFill>
            <w14:solidFill>
              <w14:schemeClr w14:val="tx1"/>
            </w14:solidFill>
          </w14:textFill>
        </w:rPr>
        <w:t>.1.1</w:t>
      </w:r>
      <w:r>
        <w:rPr>
          <w:rFonts w:hint="eastAsia" w:ascii="仿宋_GB2312" w:hAnsi="Times New Roman" w:eastAsia="仿宋_GB2312"/>
          <w:b/>
          <w:color w:val="000000" w:themeColor="text1"/>
          <w:sz w:val="24"/>
          <w:szCs w:val="28"/>
          <w14:textFill>
            <w14:solidFill>
              <w14:schemeClr w14:val="tx1"/>
            </w14:solidFill>
          </w14:textFill>
        </w:rPr>
        <w:t>项目背景</w:t>
      </w:r>
    </w:p>
    <w:p>
      <w:pPr>
        <w:adjustRightInd w:val="0"/>
        <w:snapToGrid w:val="0"/>
        <w:spacing w:line="360" w:lineRule="auto"/>
        <w:ind w:firstLine="480" w:firstLineChars="200"/>
        <w:outlineLvl w:val="3"/>
        <w:rPr>
          <w:rFonts w:ascii="仿宋_GB2312" w:hAnsi="Times New Roman" w:eastAsia="仿宋_GB2312"/>
          <w:sz w:val="24"/>
          <w:szCs w:val="28"/>
        </w:rPr>
      </w:pPr>
      <w:r>
        <w:rPr>
          <w:rFonts w:hint="eastAsia" w:ascii="仿宋_GB2312" w:hAnsi="Times New Roman" w:eastAsia="仿宋_GB2312"/>
          <w:sz w:val="24"/>
          <w:szCs w:val="28"/>
        </w:rPr>
        <w:t>以习近平新时代中国特色社会主义思想为指导，全面贯彻新时代卫生与健康工作方针，为着力解决影响群众健康的心脑血管病、癌症、慢性呼吸系统病3类重大疾病，高血压、糖尿病2种基础疾病，出生缺陷、儿童青少年近视、精神卫生3类突出公共卫生问题（以下简称“323”健康问题），以控制健康危险因素、实施早诊早治、构建医防协同体系为重点，以终点事件防降为目标，以深化医药卫生体制改革为动力，坚持防治结合、医防融合、资源整合，坚持政府主导、部门负责、系统联动、群防群控，健全综合防控体系和工作机制，力争通过3至5年努力，人群发病率、致死率和疾病负担明显下降，为健康湖北建设奠定坚实基础。</w:t>
      </w:r>
    </w:p>
    <w:p>
      <w:pPr>
        <w:adjustRightInd w:val="0"/>
        <w:snapToGrid w:val="0"/>
        <w:spacing w:line="360" w:lineRule="auto"/>
        <w:ind w:firstLine="480" w:firstLineChars="200"/>
        <w:outlineLvl w:val="3"/>
        <w:rPr>
          <w:rFonts w:ascii="仿宋_GB2312" w:hAnsi="Times New Roman" w:eastAsia="仿宋_GB2312"/>
          <w:b/>
          <w:color w:val="000000" w:themeColor="text1"/>
          <w:sz w:val="24"/>
          <w:szCs w:val="28"/>
          <w14:textFill>
            <w14:solidFill>
              <w14:schemeClr w14:val="tx1"/>
            </w14:solidFill>
          </w14:textFill>
        </w:rPr>
      </w:pPr>
      <w:r>
        <w:rPr>
          <w:rFonts w:hint="eastAsia" w:ascii="仿宋_GB2312" w:hAnsi="Times New Roman" w:eastAsia="仿宋_GB2312"/>
          <w:b/>
          <w:color w:val="000000" w:themeColor="text1"/>
          <w:sz w:val="24"/>
          <w:szCs w:val="28"/>
          <w14:textFill>
            <w14:solidFill>
              <w14:schemeClr w14:val="tx1"/>
            </w14:solidFill>
          </w14:textFill>
        </w:rPr>
        <w:t>4</w:t>
      </w:r>
      <w:r>
        <w:rPr>
          <w:rFonts w:ascii="仿宋_GB2312" w:hAnsi="Times New Roman" w:eastAsia="仿宋_GB2312"/>
          <w:b/>
          <w:color w:val="000000" w:themeColor="text1"/>
          <w:sz w:val="24"/>
          <w:szCs w:val="28"/>
          <w14:textFill>
            <w14:solidFill>
              <w14:schemeClr w14:val="tx1"/>
            </w14:solidFill>
          </w14:textFill>
        </w:rPr>
        <w:t>.1.2</w:t>
      </w:r>
      <w:r>
        <w:rPr>
          <w:rFonts w:hint="eastAsia" w:ascii="仿宋_GB2312" w:hAnsi="Times New Roman" w:eastAsia="仿宋_GB2312"/>
          <w:b/>
          <w:color w:val="000000" w:themeColor="text1"/>
          <w:sz w:val="24"/>
          <w:szCs w:val="28"/>
          <w14:textFill>
            <w14:solidFill>
              <w14:schemeClr w14:val="tx1"/>
            </w14:solidFill>
          </w14:textFill>
        </w:rPr>
        <w:t xml:space="preserve">总体目标及建设内容 </w:t>
      </w:r>
    </w:p>
    <w:p>
      <w:pPr>
        <w:spacing w:line="360" w:lineRule="auto"/>
        <w:ind w:firstLine="480" w:firstLineChars="200"/>
        <w:rPr>
          <w:rFonts w:ascii="仿宋_GB2312" w:hAnsi="Times New Roman" w:eastAsia="仿宋_GB2312"/>
          <w:sz w:val="24"/>
          <w:szCs w:val="28"/>
        </w:rPr>
      </w:pPr>
      <w:r>
        <w:rPr>
          <w:rFonts w:hint="eastAsia" w:ascii="仿宋_GB2312" w:hAnsi="Times New Roman" w:eastAsia="仿宋_GB2312"/>
          <w:sz w:val="24"/>
          <w:szCs w:val="28"/>
        </w:rPr>
        <w:t>依托湖北省健康医疗大数据中心暨公共卫生应急管理平台建设项目（一期）工程业务系统、能力平台、大数据中心和云网基础设施的建设成果，建设专病防治管理系统、专病防治业务应用、专病防治公用服务、健康档案数据融合、着力解决影响群众健康的心脑血管病、癌症、慢性呼吸系统病3类重大疾病，高血压、糖尿病2种基础疾病，出生缺陷、儿童青少年近视、精神卫生3类突出公共卫生问题为健康湖北建设奠定坚实基础。同时完善一期工程基础设施安全，增强信息系统密码安全能力和应用。</w:t>
      </w:r>
    </w:p>
    <w:p>
      <w:pPr>
        <w:spacing w:line="360" w:lineRule="auto"/>
        <w:ind w:firstLine="480" w:firstLineChars="200"/>
        <w:rPr>
          <w:rFonts w:ascii="仿宋_GB2312" w:hAnsi="Times New Roman" w:eastAsia="仿宋_GB2312"/>
          <w:sz w:val="24"/>
          <w:szCs w:val="28"/>
        </w:rPr>
      </w:pPr>
      <w:r>
        <w:rPr>
          <w:rFonts w:hint="eastAsia" w:ascii="仿宋_GB2312" w:hAnsi="Times New Roman" w:eastAsia="仿宋_GB2312"/>
          <w:sz w:val="24"/>
          <w:szCs w:val="28"/>
        </w:rPr>
        <w:t>整个项目主要包括心血管病防治应用系统、脑卒中防治应用系统、精神卫生防治应用系统、儿童青少年视力问题防治应用系统、出生缺陷综合防治应用系统、癌症防治应用系统、慢性呼吸系统疾病防治应用系统、“健康湖北门户对接”、专病防治公用服务、健康档案数据融合、信息系统密码应用、项目管理服务、标准规范制定、软件测评服务、网络安全等级保护测评服务。</w:t>
      </w:r>
    </w:p>
    <w:p>
      <w:pPr>
        <w:spacing w:line="360" w:lineRule="auto"/>
        <w:ind w:firstLine="480" w:firstLineChars="200"/>
        <w:rPr>
          <w:rFonts w:ascii="仿宋_GB2312" w:hAnsi="Times New Roman" w:eastAsia="仿宋_GB2312"/>
          <w:sz w:val="24"/>
          <w:szCs w:val="28"/>
        </w:rPr>
      </w:pPr>
      <w:r>
        <w:rPr>
          <w:rFonts w:hint="eastAsia" w:ascii="仿宋_GB2312" w:hAnsi="Times New Roman" w:eastAsia="仿宋_GB2312"/>
          <w:sz w:val="24"/>
          <w:szCs w:val="28"/>
        </w:rPr>
        <w:t>本次采购服务为软件测评服务包，将通过招标方式采购专业第三方软件测试服务，为项目提供用户文档集测评、功能性测试、性能效率测试、信息安全测试（非等保测试）方面的测试，出具测试报告，为被测对象（软件）提供项目初验参考，保障项目质量。</w:t>
      </w:r>
    </w:p>
    <w:p>
      <w:pPr>
        <w:adjustRightInd w:val="0"/>
        <w:snapToGrid w:val="0"/>
        <w:spacing w:line="360" w:lineRule="auto"/>
        <w:ind w:firstLine="480" w:firstLineChars="200"/>
        <w:outlineLvl w:val="2"/>
        <w:rPr>
          <w:rFonts w:ascii="仿宋_GB2312" w:hAnsi="Times New Roman" w:eastAsia="仿宋_GB2312"/>
          <w:b/>
          <w:color w:val="000000" w:themeColor="text1"/>
          <w:sz w:val="24"/>
          <w:szCs w:val="28"/>
          <w14:textFill>
            <w14:solidFill>
              <w14:schemeClr w14:val="tx1"/>
            </w14:solidFill>
          </w14:textFill>
        </w:rPr>
      </w:pPr>
      <w:r>
        <w:rPr>
          <w:rFonts w:hint="eastAsia" w:ascii="仿宋_GB2312" w:hAnsi="Times New Roman" w:eastAsia="仿宋_GB2312"/>
          <w:b/>
          <w:color w:val="000000" w:themeColor="text1"/>
          <w:sz w:val="24"/>
          <w:szCs w:val="28"/>
          <w14:textFill>
            <w14:solidFill>
              <w14:schemeClr w14:val="tx1"/>
            </w14:solidFill>
          </w14:textFill>
        </w:rPr>
        <w:t>4.2测试技术要求及内容</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4.2.1总体要求</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本项目投标人需要遵守以下总体要求：</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w:t>
      </w:r>
      <w:r>
        <w:rPr>
          <w:rFonts w:hint="eastAsia" w:ascii="仿宋_GB2312" w:hAnsi="Times New Roman" w:eastAsia="仿宋_GB2312"/>
          <w:color w:val="000000" w:themeColor="text1"/>
          <w:sz w:val="24"/>
          <w:szCs w:val="28"/>
          <w14:textFill>
            <w14:solidFill>
              <w14:schemeClr w14:val="tx1"/>
            </w14:solidFill>
          </w14:textFill>
        </w:rPr>
        <w:tab/>
      </w:r>
      <w:r>
        <w:rPr>
          <w:rFonts w:hint="eastAsia" w:ascii="仿宋_GB2312" w:hAnsi="Times New Roman" w:eastAsia="仿宋_GB2312"/>
          <w:color w:val="000000" w:themeColor="text1"/>
          <w:sz w:val="24"/>
          <w:szCs w:val="28"/>
          <w14:textFill>
            <w14:solidFill>
              <w14:schemeClr w14:val="tx1"/>
            </w14:solidFill>
          </w14:textFill>
        </w:rPr>
        <w:t>本项目涉及的被测对象（软件）由开发单位完成开发并进行内部测试后，向项目建设方发起测试申请，建设方同意后通知本项目投标人进行测试。</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2)</w:t>
      </w:r>
      <w:r>
        <w:rPr>
          <w:rFonts w:hint="eastAsia" w:ascii="仿宋_GB2312" w:hAnsi="Times New Roman" w:eastAsia="仿宋_GB2312"/>
          <w:color w:val="000000" w:themeColor="text1"/>
          <w:sz w:val="24"/>
          <w:szCs w:val="28"/>
          <w14:textFill>
            <w14:solidFill>
              <w14:schemeClr w14:val="tx1"/>
            </w14:solidFill>
          </w14:textFill>
        </w:rPr>
        <w:tab/>
      </w:r>
      <w:r>
        <w:rPr>
          <w:rFonts w:hint="eastAsia" w:ascii="仿宋_GB2312" w:hAnsi="Times New Roman" w:eastAsia="仿宋_GB2312"/>
          <w:color w:val="000000" w:themeColor="text1"/>
          <w:sz w:val="24"/>
          <w:szCs w:val="28"/>
          <w14:textFill>
            <w14:solidFill>
              <w14:schemeClr w14:val="tx1"/>
            </w14:solidFill>
          </w14:textFill>
        </w:rPr>
        <w:t>本项目投标人需根据需求规格说明书和设计文档的要求，对被测试对象（软件）的用户文档集、功能性、性能效率、信息安全性等方面进行测评，并出具测评报告（或测试报告）。</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3)</w:t>
      </w:r>
      <w:r>
        <w:rPr>
          <w:rFonts w:hint="eastAsia" w:ascii="仿宋_GB2312" w:hAnsi="Times New Roman" w:eastAsia="仿宋_GB2312"/>
          <w:color w:val="000000" w:themeColor="text1"/>
          <w:sz w:val="24"/>
          <w:szCs w:val="28"/>
          <w14:textFill>
            <w14:solidFill>
              <w14:schemeClr w14:val="tx1"/>
            </w14:solidFill>
          </w14:textFill>
        </w:rPr>
        <w:tab/>
      </w:r>
      <w:r>
        <w:rPr>
          <w:rFonts w:hint="eastAsia" w:ascii="仿宋_GB2312" w:hAnsi="Times New Roman" w:eastAsia="仿宋_GB2312"/>
          <w:color w:val="000000" w:themeColor="text1"/>
          <w:sz w:val="24"/>
          <w:szCs w:val="28"/>
          <w14:textFill>
            <w14:solidFill>
              <w14:schemeClr w14:val="tx1"/>
            </w14:solidFill>
          </w14:textFill>
        </w:rPr>
        <w:t>本项目投标人需通过实施软件测试，发现被测对象未满足项目设计要求且影响系统上线使用的缺陷，测试发现的问题或缺陷需要出具在测评报告（或测试报告）中。</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4)</w:t>
      </w:r>
      <w:r>
        <w:rPr>
          <w:rFonts w:hint="eastAsia" w:ascii="仿宋_GB2312" w:hAnsi="Times New Roman" w:eastAsia="仿宋_GB2312"/>
          <w:color w:val="000000" w:themeColor="text1"/>
          <w:sz w:val="24"/>
          <w:szCs w:val="28"/>
          <w14:textFill>
            <w14:solidFill>
              <w14:schemeClr w14:val="tx1"/>
            </w14:solidFill>
          </w14:textFill>
        </w:rPr>
        <w:tab/>
      </w:r>
      <w:r>
        <w:rPr>
          <w:rFonts w:hint="eastAsia" w:ascii="仿宋_GB2312" w:hAnsi="Times New Roman" w:eastAsia="仿宋_GB2312"/>
          <w:color w:val="000000" w:themeColor="text1"/>
          <w:sz w:val="24"/>
          <w:szCs w:val="28"/>
          <w14:textFill>
            <w14:solidFill>
              <w14:schemeClr w14:val="tx1"/>
            </w14:solidFill>
          </w14:textFill>
        </w:rPr>
        <w:t>本项目投标人对被测对象（软件）进行初验和终验两次确认测试，并出具测试报告，如需回归测试，回归测试产生的费用由开发单位承担；</w:t>
      </w:r>
      <w:r>
        <w:rPr>
          <w:rFonts w:ascii="仿宋_GB2312" w:hAnsi="Times New Roman" w:eastAsia="仿宋_GB2312"/>
          <w:color w:val="000000" w:themeColor="text1"/>
          <w:sz w:val="24"/>
          <w:szCs w:val="28"/>
          <w14:textFill>
            <w14:solidFill>
              <w14:schemeClr w14:val="tx1"/>
            </w14:solidFill>
          </w14:textFill>
        </w:rPr>
        <w:t xml:space="preserve"> </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5)</w:t>
      </w:r>
      <w:r>
        <w:rPr>
          <w:rFonts w:hint="eastAsia" w:ascii="仿宋_GB2312" w:hAnsi="Times New Roman" w:eastAsia="仿宋_GB2312"/>
          <w:color w:val="000000" w:themeColor="text1"/>
          <w:sz w:val="24"/>
          <w:szCs w:val="28"/>
          <w14:textFill>
            <w14:solidFill>
              <w14:schemeClr w14:val="tx1"/>
            </w14:solidFill>
          </w14:textFill>
        </w:rPr>
        <w:tab/>
      </w:r>
      <w:r>
        <w:rPr>
          <w:rFonts w:hint="eastAsia" w:ascii="仿宋_GB2312" w:hAnsi="Times New Roman" w:eastAsia="仿宋_GB2312"/>
          <w:color w:val="000000" w:themeColor="text1"/>
          <w:sz w:val="24"/>
          <w:szCs w:val="28"/>
          <w14:textFill>
            <w14:solidFill>
              <w14:schemeClr w14:val="tx1"/>
            </w14:solidFill>
          </w14:textFill>
        </w:rPr>
        <w:t>本项目投标人需要审核开发单位委托的专业的具有资质的第三方测评机构出具的项目终验测评报告（或测试报告），相关用户文档集、功能性、性能效率、信息安全性（非网络安全等级保护测评）等通过时才能向监理单位或建设方出具通过测试意见或建议；</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6)</w:t>
      </w:r>
      <w:r>
        <w:rPr>
          <w:rFonts w:hint="eastAsia" w:ascii="仿宋_GB2312" w:hAnsi="Times New Roman" w:eastAsia="仿宋_GB2312"/>
          <w:color w:val="000000" w:themeColor="text1"/>
          <w:sz w:val="24"/>
          <w:szCs w:val="28"/>
          <w14:textFill>
            <w14:solidFill>
              <w14:schemeClr w14:val="tx1"/>
            </w14:solidFill>
          </w14:textFill>
        </w:rPr>
        <w:tab/>
      </w:r>
      <w:r>
        <w:rPr>
          <w:rFonts w:hint="eastAsia" w:ascii="仿宋_GB2312" w:hAnsi="Times New Roman" w:eastAsia="仿宋_GB2312"/>
          <w:color w:val="000000" w:themeColor="text1"/>
          <w:sz w:val="24"/>
          <w:szCs w:val="28"/>
          <w14:textFill>
            <w14:solidFill>
              <w14:schemeClr w14:val="tx1"/>
            </w14:solidFill>
          </w14:textFill>
        </w:rPr>
        <w:t>本项目投标人需严格管理项目参加人员，确保测试工作按时保质完成；</w:t>
      </w:r>
      <w:r>
        <w:rPr>
          <w:rFonts w:ascii="仿宋_GB2312" w:hAnsi="Times New Roman" w:eastAsia="仿宋_GB2312"/>
          <w:color w:val="000000" w:themeColor="text1"/>
          <w:sz w:val="24"/>
          <w:szCs w:val="28"/>
          <w14:textFill>
            <w14:solidFill>
              <w14:schemeClr w14:val="tx1"/>
            </w14:solidFill>
          </w14:textFill>
        </w:rPr>
        <w:tab/>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4.2.2测试内容要求</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投标人应从用户文档集测评、功能性测试、性能效率测试、信息安全性（非网络安全等级保护测评）对系统进行质量测试，测试内容（不含回归测试）要求如下：</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4.2.2.1用户文档集测评</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文件应包含使用系统的必须的信息，对系统实现功能和用户最终调用的功能有尽可能详细的语言描述或图示；文档文件对使用系统的限制条件和约束应有足够的说明；文档文件内容信息正确无误，相互一致，没有歧义，并且易理解和易学习。具体文档包括需求规格说明书或用户文档集等文档资料。核查、鉴定用户文档集的完备、正确、一致、易理解、可操作。</w:t>
      </w:r>
    </w:p>
    <w:p>
      <w:pPr>
        <w:pStyle w:val="23"/>
        <w:numPr>
          <w:ilvl w:val="0"/>
          <w:numId w:val="2"/>
        </w:numPr>
        <w:adjustRightInd w:val="0"/>
        <w:snapToGrid w:val="0"/>
        <w:spacing w:line="360" w:lineRule="auto"/>
        <w:ind w:firstLineChars="0"/>
        <w:outlineLvl w:val="3"/>
        <w:rPr>
          <w:rFonts w:hint="eastAsia"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完备性</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验证系统文档集中的文档类目是否完全可以覆盖系统从立项、设计到后期护等各生命周期中需要被定义的工作过程。</w:t>
      </w:r>
    </w:p>
    <w:p>
      <w:pPr>
        <w:pStyle w:val="23"/>
        <w:numPr>
          <w:ilvl w:val="0"/>
          <w:numId w:val="2"/>
        </w:numPr>
        <w:adjustRightInd w:val="0"/>
        <w:snapToGrid w:val="0"/>
        <w:spacing w:line="360" w:lineRule="auto"/>
        <w:ind w:firstLineChars="0"/>
        <w:outlineLvl w:val="3"/>
        <w:rPr>
          <w:rFonts w:hint="eastAsia"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正确性</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文档中内容描述正确，无错误、无歧义、无模糊化描述。</w:t>
      </w:r>
    </w:p>
    <w:p>
      <w:pPr>
        <w:pStyle w:val="23"/>
        <w:numPr>
          <w:ilvl w:val="0"/>
          <w:numId w:val="2"/>
        </w:numPr>
        <w:adjustRightInd w:val="0"/>
        <w:snapToGrid w:val="0"/>
        <w:spacing w:line="360" w:lineRule="auto"/>
        <w:ind w:firstLineChars="0"/>
        <w:outlineLvl w:val="3"/>
        <w:rPr>
          <w:rFonts w:hint="eastAsia"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一致性</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文档中内容与实际系统的实际要求相符合，无差异化描述。</w:t>
      </w:r>
    </w:p>
    <w:p>
      <w:pPr>
        <w:pStyle w:val="23"/>
        <w:numPr>
          <w:ilvl w:val="0"/>
          <w:numId w:val="2"/>
        </w:numPr>
        <w:adjustRightInd w:val="0"/>
        <w:snapToGrid w:val="0"/>
        <w:spacing w:line="360" w:lineRule="auto"/>
        <w:ind w:firstLineChars="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易理解性</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文档中内容以图文并茂的方式进行描述，并应采用该系统读者可理解的术语和文体，用直观、易懂的描述语言。</w:t>
      </w:r>
    </w:p>
    <w:p>
      <w:pPr>
        <w:pStyle w:val="23"/>
        <w:numPr>
          <w:ilvl w:val="0"/>
          <w:numId w:val="2"/>
        </w:numPr>
        <w:adjustRightInd w:val="0"/>
        <w:snapToGrid w:val="0"/>
        <w:spacing w:line="360" w:lineRule="auto"/>
        <w:ind w:firstLineChars="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易学性</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文档中内容便于浏览，逻辑关系清晰，应为用户学会如何使用该系统提供必要的信息。</w:t>
      </w:r>
    </w:p>
    <w:p>
      <w:pPr>
        <w:pStyle w:val="23"/>
        <w:numPr>
          <w:ilvl w:val="0"/>
          <w:numId w:val="2"/>
        </w:numPr>
        <w:adjustRightInd w:val="0"/>
        <w:snapToGrid w:val="0"/>
        <w:spacing w:line="360" w:lineRule="auto"/>
        <w:ind w:firstLineChars="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可操作性</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文档应注明必要的操作模式，并提供目次和索引，对于不常用的数据和首字母缩略语应加以定义。</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在一项计算机系统的过程中，一般地说，应该产生十四种文档。这十四种文档分别是：</w:t>
      </w:r>
    </w:p>
    <w:p>
      <w:pPr>
        <w:pStyle w:val="23"/>
        <w:numPr>
          <w:ilvl w:val="0"/>
          <w:numId w:val="2"/>
        </w:numPr>
        <w:adjustRightInd w:val="0"/>
        <w:snapToGrid w:val="0"/>
        <w:spacing w:line="360" w:lineRule="auto"/>
        <w:ind w:firstLineChars="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可行性研究报告</w:t>
      </w:r>
    </w:p>
    <w:p>
      <w:pPr>
        <w:pStyle w:val="23"/>
        <w:numPr>
          <w:ilvl w:val="0"/>
          <w:numId w:val="2"/>
        </w:numPr>
        <w:adjustRightInd w:val="0"/>
        <w:snapToGrid w:val="0"/>
        <w:spacing w:line="360" w:lineRule="auto"/>
        <w:ind w:firstLineChars="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项目开发计划</w:t>
      </w:r>
    </w:p>
    <w:p>
      <w:pPr>
        <w:pStyle w:val="23"/>
        <w:numPr>
          <w:ilvl w:val="0"/>
          <w:numId w:val="2"/>
        </w:numPr>
        <w:adjustRightInd w:val="0"/>
        <w:snapToGrid w:val="0"/>
        <w:spacing w:line="360" w:lineRule="auto"/>
        <w:ind w:firstLineChars="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软件需求说明书</w:t>
      </w:r>
    </w:p>
    <w:p>
      <w:pPr>
        <w:pStyle w:val="23"/>
        <w:numPr>
          <w:ilvl w:val="0"/>
          <w:numId w:val="2"/>
        </w:numPr>
        <w:adjustRightInd w:val="0"/>
        <w:snapToGrid w:val="0"/>
        <w:spacing w:line="360" w:lineRule="auto"/>
        <w:ind w:firstLineChars="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数据要求说明书</w:t>
      </w:r>
    </w:p>
    <w:p>
      <w:pPr>
        <w:pStyle w:val="23"/>
        <w:numPr>
          <w:ilvl w:val="0"/>
          <w:numId w:val="2"/>
        </w:numPr>
        <w:adjustRightInd w:val="0"/>
        <w:snapToGrid w:val="0"/>
        <w:spacing w:line="360" w:lineRule="auto"/>
        <w:ind w:firstLineChars="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概要设计说明书</w:t>
      </w:r>
    </w:p>
    <w:p>
      <w:pPr>
        <w:pStyle w:val="23"/>
        <w:numPr>
          <w:ilvl w:val="0"/>
          <w:numId w:val="2"/>
        </w:numPr>
        <w:adjustRightInd w:val="0"/>
        <w:snapToGrid w:val="0"/>
        <w:spacing w:line="360" w:lineRule="auto"/>
        <w:ind w:firstLineChars="0"/>
        <w:outlineLvl w:val="3"/>
        <w:rPr>
          <w:rFonts w:hint="eastAsia"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详细设计说明书</w:t>
      </w:r>
    </w:p>
    <w:p>
      <w:pPr>
        <w:pStyle w:val="23"/>
        <w:numPr>
          <w:ilvl w:val="0"/>
          <w:numId w:val="2"/>
        </w:numPr>
        <w:adjustRightInd w:val="0"/>
        <w:snapToGrid w:val="0"/>
        <w:spacing w:line="360" w:lineRule="auto"/>
        <w:ind w:firstLineChars="0"/>
        <w:outlineLvl w:val="3"/>
        <w:rPr>
          <w:rFonts w:hint="eastAsia"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数据库设计说明书</w:t>
      </w:r>
    </w:p>
    <w:p>
      <w:pPr>
        <w:pStyle w:val="23"/>
        <w:numPr>
          <w:ilvl w:val="0"/>
          <w:numId w:val="2"/>
        </w:numPr>
        <w:adjustRightInd w:val="0"/>
        <w:snapToGrid w:val="0"/>
        <w:spacing w:line="360" w:lineRule="auto"/>
        <w:ind w:firstLineChars="0"/>
        <w:outlineLvl w:val="3"/>
        <w:rPr>
          <w:rFonts w:hint="eastAsia"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用户手册</w:t>
      </w:r>
    </w:p>
    <w:p>
      <w:pPr>
        <w:pStyle w:val="23"/>
        <w:numPr>
          <w:ilvl w:val="0"/>
          <w:numId w:val="2"/>
        </w:numPr>
        <w:adjustRightInd w:val="0"/>
        <w:snapToGrid w:val="0"/>
        <w:spacing w:line="360" w:lineRule="auto"/>
        <w:ind w:firstLineChars="0"/>
        <w:outlineLvl w:val="3"/>
        <w:rPr>
          <w:rFonts w:hint="eastAsia"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操作手册</w:t>
      </w:r>
    </w:p>
    <w:p>
      <w:pPr>
        <w:pStyle w:val="23"/>
        <w:numPr>
          <w:ilvl w:val="0"/>
          <w:numId w:val="2"/>
        </w:numPr>
        <w:adjustRightInd w:val="0"/>
        <w:snapToGrid w:val="0"/>
        <w:spacing w:line="360" w:lineRule="auto"/>
        <w:ind w:firstLineChars="0"/>
        <w:outlineLvl w:val="3"/>
        <w:rPr>
          <w:rFonts w:hint="eastAsia"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模块开发卷宗</w:t>
      </w:r>
    </w:p>
    <w:p>
      <w:pPr>
        <w:pStyle w:val="23"/>
        <w:numPr>
          <w:ilvl w:val="0"/>
          <w:numId w:val="2"/>
        </w:numPr>
        <w:adjustRightInd w:val="0"/>
        <w:snapToGrid w:val="0"/>
        <w:spacing w:line="360" w:lineRule="auto"/>
        <w:ind w:firstLineChars="0"/>
        <w:outlineLvl w:val="3"/>
        <w:rPr>
          <w:rFonts w:hint="eastAsia"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测试计划</w:t>
      </w:r>
    </w:p>
    <w:p>
      <w:pPr>
        <w:pStyle w:val="23"/>
        <w:numPr>
          <w:ilvl w:val="0"/>
          <w:numId w:val="2"/>
        </w:numPr>
        <w:adjustRightInd w:val="0"/>
        <w:snapToGrid w:val="0"/>
        <w:spacing w:line="360" w:lineRule="auto"/>
        <w:ind w:firstLineChars="0"/>
        <w:outlineLvl w:val="3"/>
        <w:rPr>
          <w:rFonts w:hint="eastAsia"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测试分析报告</w:t>
      </w:r>
    </w:p>
    <w:p>
      <w:pPr>
        <w:pStyle w:val="23"/>
        <w:numPr>
          <w:ilvl w:val="0"/>
          <w:numId w:val="2"/>
        </w:numPr>
        <w:adjustRightInd w:val="0"/>
        <w:snapToGrid w:val="0"/>
        <w:spacing w:line="360" w:lineRule="auto"/>
        <w:ind w:firstLineChars="0"/>
        <w:outlineLvl w:val="3"/>
        <w:rPr>
          <w:rFonts w:hint="eastAsia"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开发进度月报</w:t>
      </w:r>
    </w:p>
    <w:p>
      <w:pPr>
        <w:pStyle w:val="23"/>
        <w:numPr>
          <w:ilvl w:val="0"/>
          <w:numId w:val="2"/>
        </w:numPr>
        <w:adjustRightInd w:val="0"/>
        <w:snapToGrid w:val="0"/>
        <w:spacing w:line="360" w:lineRule="auto"/>
        <w:ind w:firstLineChars="0"/>
        <w:outlineLvl w:val="3"/>
        <w:rPr>
          <w:rFonts w:hint="eastAsia"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项目开发总结报告</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4.2.2.2功能性测试</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 分析应用软件功能需求，验证软件实现了全部需求和设计，测试覆盖所有功能点，确保各项功能是可正确执行的；屏幕显示及打印是否规范、准确等，确保业务需求的功能实现。</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2) 分析各功能点测试的优先级别。重点关注用户经常使用、关系到软件核心功能、优先级别较高的功能点。</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3) 分析应用系统业务需求，对业务流程进行数据流向测试，确保关键业务流程正确执行；必须既包括正常输入和正常业务流程测试，也包括对非法数据输入和异常处理的测试，且对系统非正常操作的测试用例一般应占到总数的20%-30%。同时要求测试内容覆盖整个业务周期。</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4) 分析应用软件数据处理需求，对软件业务数据进行严格的正确性测试（包括数据是否超出正常的值范围、报表数据准确性等），确保软件即时数据和历史数据准确无误。</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4.2.2.3性能效率测试</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依据《需求规格说明书》中对应用系统效率的描述，考查应用系统关键业务在正常工作量、预期的峰值工作量下的效率情况，主要考虑系统容量特性、时间特性及资源利用状况等效率指标是否符合用户需求，并据此对系统的性能做出全面的评价：</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1）分析应用软件的业务扩容，对业务软件数据规模增长进行评估，确保应用软件能够满足未来业务数据增长需要；</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2）分析软件用户行为，依据性能效率需求验证分级部署的应用软件支持高并发处理业务的能力；</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3）软件的关键业务，诸如数据采集、数据同步、数据统计等，具备快速响应能力；</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4）软件资源利用在合理的数值范围，不超过资源指标的预警值；</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5）测试在大用户量、大并发、大数据量和长时间连续运行等条件下，软件的响应时间和稳定运行情况。</w:t>
      </w:r>
      <w:r>
        <w:rPr>
          <w:rFonts w:ascii="仿宋_GB2312" w:hAnsi="Times New Roman" w:eastAsia="仿宋_GB2312"/>
          <w:color w:val="000000" w:themeColor="text1"/>
          <w:sz w:val="24"/>
          <w:szCs w:val="28"/>
          <w14:textFill>
            <w14:solidFill>
              <w14:schemeClr w14:val="tx1"/>
            </w14:solidFill>
          </w14:textFill>
        </w:rPr>
        <w:t xml:space="preserve"> </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4.2.2.</w:t>
      </w:r>
      <w:r>
        <w:rPr>
          <w:rFonts w:ascii="仿宋_GB2312" w:hAnsi="Times New Roman" w:eastAsia="仿宋_GB2312"/>
          <w:color w:val="000000" w:themeColor="text1"/>
          <w:sz w:val="24"/>
          <w:szCs w:val="28"/>
          <w14:textFill>
            <w14:solidFill>
              <w14:schemeClr w14:val="tx1"/>
            </w14:solidFill>
          </w14:textFill>
        </w:rPr>
        <w:t>4</w:t>
      </w:r>
      <w:r>
        <w:rPr>
          <w:rFonts w:hint="eastAsia" w:ascii="仿宋_GB2312" w:hAnsi="Times New Roman" w:eastAsia="仿宋_GB2312"/>
          <w:color w:val="000000" w:themeColor="text1"/>
          <w:sz w:val="24"/>
          <w:szCs w:val="28"/>
          <w14:textFill>
            <w14:solidFill>
              <w14:schemeClr w14:val="tx1"/>
            </w14:solidFill>
          </w14:textFill>
        </w:rPr>
        <w:t>信息安全性测试</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为确保平台系统的应用功能安全、主机系统安全、以及数据安全等要求，本项目要求采取专项的安全性测试（非网络安全等级保护的专项安全性测试）。通过专项的安全测试分析提供专业整改报告，测试内容（不含回归测试）包括：</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1）系统功能安全测试</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a)</w:t>
      </w:r>
      <w:r>
        <w:rPr>
          <w:rFonts w:hint="eastAsia" w:ascii="仿宋_GB2312" w:hAnsi="Times New Roman" w:eastAsia="仿宋_GB2312"/>
          <w:color w:val="000000" w:themeColor="text1"/>
          <w:sz w:val="24"/>
          <w:szCs w:val="28"/>
          <w14:textFill>
            <w14:solidFill>
              <w14:schemeClr w14:val="tx1"/>
            </w14:solidFill>
          </w14:textFill>
        </w:rPr>
        <w:tab/>
      </w:r>
      <w:r>
        <w:rPr>
          <w:rFonts w:hint="eastAsia" w:ascii="仿宋_GB2312" w:hAnsi="Times New Roman" w:eastAsia="仿宋_GB2312"/>
          <w:color w:val="000000" w:themeColor="text1"/>
          <w:sz w:val="24"/>
          <w:szCs w:val="28"/>
          <w14:textFill>
            <w14:solidFill>
              <w14:schemeClr w14:val="tx1"/>
            </w14:solidFill>
          </w14:textFill>
        </w:rPr>
        <w:t>首先验证系统的功能防护功能是否生效；</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b)</w:t>
      </w:r>
      <w:r>
        <w:rPr>
          <w:rFonts w:hint="eastAsia" w:ascii="仿宋_GB2312" w:hAnsi="Times New Roman" w:eastAsia="仿宋_GB2312"/>
          <w:color w:val="000000" w:themeColor="text1"/>
          <w:sz w:val="24"/>
          <w:szCs w:val="28"/>
          <w14:textFill>
            <w14:solidFill>
              <w14:schemeClr w14:val="tx1"/>
            </w14:solidFill>
          </w14:textFill>
        </w:rPr>
        <w:tab/>
      </w:r>
      <w:r>
        <w:rPr>
          <w:rFonts w:hint="eastAsia" w:ascii="仿宋_GB2312" w:hAnsi="Times New Roman" w:eastAsia="仿宋_GB2312"/>
          <w:color w:val="000000" w:themeColor="text1"/>
          <w:sz w:val="24"/>
          <w:szCs w:val="28"/>
          <w14:textFill>
            <w14:solidFill>
              <w14:schemeClr w14:val="tx1"/>
            </w14:solidFill>
          </w14:textFill>
        </w:rPr>
        <w:t>验证系统的操作规程和操作记录，查看其是否有身份标识和鉴别的操作规程、审批记录和操作记录；</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c)</w:t>
      </w:r>
      <w:r>
        <w:rPr>
          <w:rFonts w:hint="eastAsia" w:ascii="仿宋_GB2312" w:hAnsi="Times New Roman" w:eastAsia="仿宋_GB2312"/>
          <w:color w:val="000000" w:themeColor="text1"/>
          <w:sz w:val="24"/>
          <w:szCs w:val="28"/>
          <w14:textFill>
            <w14:solidFill>
              <w14:schemeClr w14:val="tx1"/>
            </w14:solidFill>
          </w14:textFill>
        </w:rPr>
        <w:tab/>
      </w:r>
      <w:r>
        <w:rPr>
          <w:rFonts w:hint="eastAsia" w:ascii="仿宋_GB2312" w:hAnsi="Times New Roman" w:eastAsia="仿宋_GB2312"/>
          <w:color w:val="000000" w:themeColor="text1"/>
          <w:sz w:val="24"/>
          <w:szCs w:val="28"/>
          <w14:textFill>
            <w14:solidFill>
              <w14:schemeClr w14:val="tx1"/>
            </w14:solidFill>
          </w14:textFill>
        </w:rPr>
        <w:t>测试其是否采用了两个及两个以上身份鉴别技术的组合来进行身份鉴别（如采用用户名/口令、挑战应答、动态口令、物理设备、生物识别技术中的任意两个组合）；对有抗抵赖要求的系统，查看其是否采用数字证书方式的身份鉴别技术；</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d)</w:t>
      </w:r>
      <w:r>
        <w:rPr>
          <w:rFonts w:hint="eastAsia" w:ascii="仿宋_GB2312" w:hAnsi="Times New Roman" w:eastAsia="仿宋_GB2312"/>
          <w:color w:val="000000" w:themeColor="text1"/>
          <w:sz w:val="24"/>
          <w:szCs w:val="28"/>
          <w14:textFill>
            <w14:solidFill>
              <w14:schemeClr w14:val="tx1"/>
            </w14:solidFill>
          </w14:textFill>
        </w:rPr>
        <w:tab/>
      </w:r>
      <w:r>
        <w:rPr>
          <w:rFonts w:hint="eastAsia" w:ascii="仿宋_GB2312" w:hAnsi="Times New Roman" w:eastAsia="仿宋_GB2312"/>
          <w:color w:val="000000" w:themeColor="text1"/>
          <w:sz w:val="24"/>
          <w:szCs w:val="28"/>
          <w14:textFill>
            <w14:solidFill>
              <w14:schemeClr w14:val="tx1"/>
            </w14:solidFill>
          </w14:textFill>
        </w:rPr>
        <w:t>测试其是否配备身份标识（如建立账号）和鉴别（如口令等）功能；查看其其身份鉴别信息是否具有不易被冒用的特点，例如复杂性（如规定字符应混有大、小写字母、数字和特殊字符）或为了便于记忆使用了令牌；</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e)</w:t>
      </w:r>
      <w:r>
        <w:rPr>
          <w:rFonts w:hint="eastAsia" w:ascii="仿宋_GB2312" w:hAnsi="Times New Roman" w:eastAsia="仿宋_GB2312"/>
          <w:color w:val="000000" w:themeColor="text1"/>
          <w:sz w:val="24"/>
          <w:szCs w:val="28"/>
          <w14:textFill>
            <w14:solidFill>
              <w14:schemeClr w14:val="tx1"/>
            </w14:solidFill>
          </w14:textFill>
        </w:rPr>
        <w:tab/>
      </w:r>
      <w:r>
        <w:rPr>
          <w:rFonts w:hint="eastAsia" w:ascii="仿宋_GB2312" w:hAnsi="Times New Roman" w:eastAsia="仿宋_GB2312"/>
          <w:color w:val="000000" w:themeColor="text1"/>
          <w:sz w:val="24"/>
          <w:szCs w:val="28"/>
          <w14:textFill>
            <w14:solidFill>
              <w14:schemeClr w14:val="tx1"/>
            </w14:solidFill>
          </w14:textFill>
        </w:rPr>
        <w:t>查看其是否配备并使用登录失败处理功能（如登录失败次数超过设定值，系统自动退出等；</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f)</w:t>
      </w:r>
      <w:r>
        <w:rPr>
          <w:rFonts w:hint="eastAsia" w:ascii="仿宋_GB2312" w:hAnsi="Times New Roman" w:eastAsia="仿宋_GB2312"/>
          <w:color w:val="000000" w:themeColor="text1"/>
          <w:sz w:val="24"/>
          <w:szCs w:val="28"/>
          <w14:textFill>
            <w14:solidFill>
              <w14:schemeClr w14:val="tx1"/>
            </w14:solidFill>
          </w14:textFill>
        </w:rPr>
        <w:tab/>
      </w:r>
      <w:r>
        <w:rPr>
          <w:rFonts w:hint="eastAsia" w:ascii="仿宋_GB2312" w:hAnsi="Times New Roman" w:eastAsia="仿宋_GB2312"/>
          <w:color w:val="000000" w:themeColor="text1"/>
          <w:sz w:val="24"/>
          <w:szCs w:val="28"/>
          <w14:textFill>
            <w14:solidFill>
              <w14:schemeClr w14:val="tx1"/>
            </w14:solidFill>
          </w14:textFill>
        </w:rPr>
        <w:t>通过注册用户，并登录系统，查看登录是否成功，验证其身份标识和鉴别功能是否有效；通过删除一个用户再重新注册相同标识的用户，查看能否成功，验证身份标识在整个生命周期内是否具有唯一性；</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g)</w:t>
      </w:r>
      <w:r>
        <w:rPr>
          <w:rFonts w:hint="eastAsia" w:ascii="仿宋_GB2312" w:hAnsi="Times New Roman" w:eastAsia="仿宋_GB2312"/>
          <w:color w:val="000000" w:themeColor="text1"/>
          <w:sz w:val="24"/>
          <w:szCs w:val="28"/>
          <w14:textFill>
            <w14:solidFill>
              <w14:schemeClr w14:val="tx1"/>
            </w14:solidFill>
          </w14:textFill>
        </w:rPr>
        <w:tab/>
      </w:r>
      <w:r>
        <w:rPr>
          <w:rFonts w:hint="eastAsia" w:ascii="仿宋_GB2312" w:hAnsi="Times New Roman" w:eastAsia="仿宋_GB2312"/>
          <w:color w:val="000000" w:themeColor="text1"/>
          <w:sz w:val="24"/>
          <w:szCs w:val="28"/>
          <w14:textFill>
            <w14:solidFill>
              <w14:schemeClr w14:val="tx1"/>
            </w14:solidFill>
          </w14:textFill>
        </w:rPr>
        <w:t>验证其登录失败处理，非法登录次数限制，登录连接超时自动退出等功能是否有效</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h)</w:t>
      </w:r>
      <w:r>
        <w:rPr>
          <w:rFonts w:hint="eastAsia" w:ascii="仿宋_GB2312" w:hAnsi="Times New Roman" w:eastAsia="仿宋_GB2312"/>
          <w:color w:val="000000" w:themeColor="text1"/>
          <w:sz w:val="24"/>
          <w:szCs w:val="28"/>
          <w14:textFill>
            <w14:solidFill>
              <w14:schemeClr w14:val="tx1"/>
            </w14:solidFill>
          </w14:textFill>
        </w:rPr>
        <w:tab/>
      </w:r>
      <w:r>
        <w:rPr>
          <w:rFonts w:hint="eastAsia" w:ascii="仿宋_GB2312" w:hAnsi="Times New Roman" w:eastAsia="仿宋_GB2312"/>
          <w:color w:val="000000" w:themeColor="text1"/>
          <w:sz w:val="24"/>
          <w:szCs w:val="28"/>
          <w14:textFill>
            <w14:solidFill>
              <w14:schemeClr w14:val="tx1"/>
            </w14:solidFill>
          </w14:textFill>
        </w:rPr>
        <w:t>验证其是否及时清除存储空间中动态使用的鉴别信息（如登录系统，退出系统后重新登录系统，查看上次登录的鉴别信息是否存在）；</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i)</w:t>
      </w:r>
      <w:r>
        <w:rPr>
          <w:rFonts w:hint="eastAsia" w:ascii="仿宋_GB2312" w:hAnsi="Times New Roman" w:eastAsia="仿宋_GB2312"/>
          <w:color w:val="000000" w:themeColor="text1"/>
          <w:sz w:val="24"/>
          <w:szCs w:val="28"/>
          <w14:textFill>
            <w14:solidFill>
              <w14:schemeClr w14:val="tx1"/>
            </w14:solidFill>
          </w14:textFill>
        </w:rPr>
        <w:tab/>
      </w:r>
      <w:r>
        <w:rPr>
          <w:rFonts w:hint="eastAsia" w:ascii="仿宋_GB2312" w:hAnsi="Times New Roman" w:eastAsia="仿宋_GB2312"/>
          <w:color w:val="000000" w:themeColor="text1"/>
          <w:sz w:val="24"/>
          <w:szCs w:val="28"/>
          <w14:textFill>
            <w14:solidFill>
              <w14:schemeClr w14:val="tx1"/>
            </w14:solidFill>
          </w14:textFill>
        </w:rPr>
        <w:t>验证其是否有鉴别警示功能（如系统有三次登录失败则锁定该用户的限制，则应给用户必要的提示）。</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2）数据安全</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a)</w:t>
      </w:r>
      <w:r>
        <w:rPr>
          <w:rFonts w:hint="eastAsia" w:ascii="仿宋_GB2312" w:hAnsi="Times New Roman" w:eastAsia="仿宋_GB2312"/>
          <w:color w:val="000000" w:themeColor="text1"/>
          <w:sz w:val="24"/>
          <w:szCs w:val="28"/>
          <w14:textFill>
            <w14:solidFill>
              <w14:schemeClr w14:val="tx1"/>
            </w14:solidFill>
          </w14:textFill>
        </w:rPr>
        <w:tab/>
      </w:r>
      <w:r>
        <w:rPr>
          <w:rFonts w:hint="eastAsia" w:ascii="仿宋_GB2312" w:hAnsi="Times New Roman" w:eastAsia="仿宋_GB2312"/>
          <w:color w:val="000000" w:themeColor="text1"/>
          <w:sz w:val="24"/>
          <w:szCs w:val="28"/>
          <w14:textFill>
            <w14:solidFill>
              <w14:schemeClr w14:val="tx1"/>
            </w14:solidFill>
          </w14:textFill>
        </w:rPr>
        <w:t>数据完整性：应能够检测到鉴别信息和重要业务数据在传输过程中完整性受到破坏；</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b)</w:t>
      </w:r>
      <w:r>
        <w:rPr>
          <w:rFonts w:hint="eastAsia" w:ascii="仿宋_GB2312" w:hAnsi="Times New Roman" w:eastAsia="仿宋_GB2312"/>
          <w:color w:val="000000" w:themeColor="text1"/>
          <w:sz w:val="24"/>
          <w:szCs w:val="28"/>
          <w14:textFill>
            <w14:solidFill>
              <w14:schemeClr w14:val="tx1"/>
            </w14:solidFill>
          </w14:textFill>
        </w:rPr>
        <w:tab/>
      </w:r>
      <w:r>
        <w:rPr>
          <w:rFonts w:hint="eastAsia" w:ascii="仿宋_GB2312" w:hAnsi="Times New Roman" w:eastAsia="仿宋_GB2312"/>
          <w:color w:val="000000" w:themeColor="text1"/>
          <w:sz w:val="24"/>
          <w:szCs w:val="28"/>
          <w14:textFill>
            <w14:solidFill>
              <w14:schemeClr w14:val="tx1"/>
            </w14:solidFill>
          </w14:textFill>
        </w:rPr>
        <w:t>数据保密性</w:t>
      </w:r>
      <w:r>
        <w:rPr>
          <w:rFonts w:hint="eastAsia" w:ascii="仿宋_GB2312" w:hAnsi="Times New Roman" w:eastAsia="仿宋_GB2312"/>
          <w:color w:val="000000" w:themeColor="text1"/>
          <w:sz w:val="24"/>
          <w:szCs w:val="28"/>
          <w14:textFill>
            <w14:solidFill>
              <w14:schemeClr w14:val="tx1"/>
            </w14:solidFill>
          </w14:textFill>
        </w:rPr>
        <w:tab/>
      </w:r>
      <w:r>
        <w:rPr>
          <w:rFonts w:hint="eastAsia" w:ascii="仿宋_GB2312" w:hAnsi="Times New Roman" w:eastAsia="仿宋_GB2312"/>
          <w:color w:val="000000" w:themeColor="text1"/>
          <w:sz w:val="24"/>
          <w:szCs w:val="28"/>
          <w14:textFill>
            <w14:solidFill>
              <w14:schemeClr w14:val="tx1"/>
            </w14:solidFill>
          </w14:textFill>
        </w:rPr>
        <w:t>：应采用加密或其他保护措施实现鉴别信息的存储保密性；</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c)</w:t>
      </w:r>
      <w:r>
        <w:rPr>
          <w:rFonts w:hint="eastAsia" w:ascii="仿宋_GB2312" w:hAnsi="Times New Roman" w:eastAsia="仿宋_GB2312"/>
          <w:color w:val="000000" w:themeColor="text1"/>
          <w:sz w:val="24"/>
          <w:szCs w:val="28"/>
          <w14:textFill>
            <w14:solidFill>
              <w14:schemeClr w14:val="tx1"/>
            </w14:solidFill>
          </w14:textFill>
        </w:rPr>
        <w:tab/>
      </w:r>
      <w:r>
        <w:rPr>
          <w:rFonts w:hint="eastAsia" w:ascii="仿宋_GB2312" w:hAnsi="Times New Roman" w:eastAsia="仿宋_GB2312"/>
          <w:color w:val="000000" w:themeColor="text1"/>
          <w:sz w:val="24"/>
          <w:szCs w:val="28"/>
          <w14:textFill>
            <w14:solidFill>
              <w14:schemeClr w14:val="tx1"/>
            </w14:solidFill>
          </w14:textFill>
        </w:rPr>
        <w:t>数据备份和恢复：应能够对重要信息进行备份和恢复应提供关键网络设备、通信线路和数据处理系统的硬件冗余，保证系统的可用性。</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b/>
          <w:color w:val="000000" w:themeColor="text1"/>
          <w:sz w:val="24"/>
          <w:szCs w:val="28"/>
          <w14:textFill>
            <w14:solidFill>
              <w14:schemeClr w14:val="tx1"/>
            </w14:solidFill>
          </w14:textFill>
        </w:rPr>
        <w:t>4.2.3测试依据</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包括但不限于以下内容：</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w:t>
      </w:r>
      <w:r>
        <w:rPr>
          <w:rFonts w:hint="eastAsia" w:ascii="仿宋_GB2312" w:hAnsi="Times New Roman" w:eastAsia="仿宋_GB2312"/>
          <w:color w:val="000000" w:themeColor="text1"/>
          <w:sz w:val="24"/>
          <w:szCs w:val="28"/>
          <w14:textFill>
            <w14:solidFill>
              <w14:schemeClr w14:val="tx1"/>
            </w14:solidFill>
          </w14:textFill>
        </w:rPr>
        <w:tab/>
      </w:r>
      <w:r>
        <w:rPr>
          <w:rFonts w:hint="eastAsia" w:ascii="仿宋_GB2312" w:hAnsi="Times New Roman" w:eastAsia="仿宋_GB2312"/>
          <w:color w:val="000000" w:themeColor="text1"/>
          <w:sz w:val="24"/>
          <w:szCs w:val="28"/>
          <w14:textFill>
            <w14:solidFill>
              <w14:schemeClr w14:val="tx1"/>
            </w14:solidFill>
          </w14:textFill>
        </w:rPr>
        <w:t>GB/T 25000.10-2016《系统与软件工程 系统与软件质量要求和评价（SQuaRE） 第10部分：系统与软件质量模型》</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2)</w:t>
      </w:r>
      <w:r>
        <w:rPr>
          <w:rFonts w:hint="eastAsia" w:ascii="仿宋_GB2312" w:hAnsi="Times New Roman" w:eastAsia="仿宋_GB2312"/>
          <w:color w:val="000000" w:themeColor="text1"/>
          <w:sz w:val="24"/>
          <w:szCs w:val="28"/>
          <w14:textFill>
            <w14:solidFill>
              <w14:schemeClr w14:val="tx1"/>
            </w14:solidFill>
          </w14:textFill>
        </w:rPr>
        <w:tab/>
      </w:r>
      <w:r>
        <w:rPr>
          <w:rFonts w:hint="eastAsia" w:ascii="仿宋_GB2312" w:hAnsi="Times New Roman" w:eastAsia="仿宋_GB2312"/>
          <w:color w:val="000000" w:themeColor="text1"/>
          <w:sz w:val="24"/>
          <w:szCs w:val="28"/>
          <w14:textFill>
            <w14:solidFill>
              <w14:schemeClr w14:val="tx1"/>
            </w14:solidFill>
          </w14:textFill>
        </w:rPr>
        <w:t>GB/T 25000.51-2016《软件工程软件产品质量要求和评价（SQuaRE）商业现货（COTS）软件产品的质量要求和评测细则》</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ascii="仿宋_GB2312" w:hAnsi="Times New Roman" w:eastAsia="仿宋_GB2312"/>
          <w:color w:val="000000" w:themeColor="text1"/>
          <w:sz w:val="24"/>
          <w:szCs w:val="28"/>
          <w14:textFill>
            <w14:solidFill>
              <w14:schemeClr w14:val="tx1"/>
            </w14:solidFill>
          </w14:textFill>
        </w:rPr>
        <w:t>3</w:t>
      </w:r>
      <w:r>
        <w:rPr>
          <w:rFonts w:hint="eastAsia" w:ascii="仿宋_GB2312" w:hAnsi="Times New Roman" w:eastAsia="仿宋_GB2312"/>
          <w:color w:val="000000" w:themeColor="text1"/>
          <w:sz w:val="24"/>
          <w:szCs w:val="28"/>
          <w14:textFill>
            <w14:solidFill>
              <w14:schemeClr w14:val="tx1"/>
            </w14:solidFill>
          </w14:textFill>
        </w:rPr>
        <w:t>)</w:t>
      </w:r>
      <w:r>
        <w:rPr>
          <w:rFonts w:hint="eastAsia" w:ascii="仿宋_GB2312" w:hAnsi="Times New Roman" w:eastAsia="仿宋_GB2312"/>
          <w:color w:val="000000" w:themeColor="text1"/>
          <w:sz w:val="24"/>
          <w:szCs w:val="28"/>
          <w14:textFill>
            <w14:solidFill>
              <w14:schemeClr w14:val="tx1"/>
            </w14:solidFill>
          </w14:textFill>
        </w:rPr>
        <w:tab/>
      </w:r>
      <w:r>
        <w:rPr>
          <w:rFonts w:hint="eastAsia" w:ascii="仿宋_GB2312" w:hAnsi="Times New Roman" w:eastAsia="仿宋_GB2312"/>
          <w:color w:val="000000" w:themeColor="text1"/>
          <w:sz w:val="24"/>
          <w:szCs w:val="28"/>
          <w14:textFill>
            <w14:solidFill>
              <w14:schemeClr w14:val="tx1"/>
            </w14:solidFill>
          </w14:textFill>
        </w:rPr>
        <w:t>需求规格说明书</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ascii="仿宋_GB2312" w:hAnsi="Times New Roman" w:eastAsia="仿宋_GB2312"/>
          <w:color w:val="000000" w:themeColor="text1"/>
          <w:sz w:val="24"/>
          <w:szCs w:val="28"/>
          <w14:textFill>
            <w14:solidFill>
              <w14:schemeClr w14:val="tx1"/>
            </w14:solidFill>
          </w14:textFill>
        </w:rPr>
        <w:t>4</w:t>
      </w:r>
      <w:r>
        <w:rPr>
          <w:rFonts w:hint="eastAsia" w:ascii="仿宋_GB2312" w:hAnsi="Times New Roman" w:eastAsia="仿宋_GB2312"/>
          <w:color w:val="000000" w:themeColor="text1"/>
          <w:sz w:val="24"/>
          <w:szCs w:val="28"/>
          <w14:textFill>
            <w14:solidFill>
              <w14:schemeClr w14:val="tx1"/>
            </w14:solidFill>
          </w14:textFill>
        </w:rPr>
        <w:t>)</w:t>
      </w:r>
      <w:r>
        <w:rPr>
          <w:rFonts w:hint="eastAsia" w:ascii="仿宋_GB2312" w:hAnsi="Times New Roman" w:eastAsia="仿宋_GB2312"/>
          <w:color w:val="000000" w:themeColor="text1"/>
          <w:sz w:val="24"/>
          <w:szCs w:val="28"/>
          <w14:textFill>
            <w14:solidFill>
              <w14:schemeClr w14:val="tx1"/>
            </w14:solidFill>
          </w14:textFill>
        </w:rPr>
        <w:tab/>
      </w:r>
      <w:r>
        <w:rPr>
          <w:rFonts w:hint="eastAsia" w:ascii="仿宋_GB2312" w:hAnsi="Times New Roman" w:eastAsia="仿宋_GB2312"/>
          <w:color w:val="000000" w:themeColor="text1"/>
          <w:sz w:val="24"/>
          <w:szCs w:val="28"/>
          <w14:textFill>
            <w14:solidFill>
              <w14:schemeClr w14:val="tx1"/>
            </w14:solidFill>
          </w14:textFill>
        </w:rPr>
        <w:t>设计文档</w:t>
      </w:r>
    </w:p>
    <w:p>
      <w:pPr>
        <w:adjustRightInd w:val="0"/>
        <w:snapToGrid w:val="0"/>
        <w:spacing w:line="360" w:lineRule="auto"/>
        <w:ind w:firstLine="480" w:firstLineChars="200"/>
        <w:outlineLvl w:val="2"/>
        <w:rPr>
          <w:rFonts w:ascii="仿宋_GB2312" w:hAnsi="Times New Roman" w:eastAsia="仿宋_GB2312"/>
          <w:b/>
          <w:bCs/>
          <w:color w:val="000000" w:themeColor="text1"/>
          <w:sz w:val="24"/>
          <w:szCs w:val="28"/>
          <w14:textFill>
            <w14:solidFill>
              <w14:schemeClr w14:val="tx1"/>
            </w14:solidFill>
          </w14:textFill>
        </w:rPr>
      </w:pPr>
      <w:r>
        <w:rPr>
          <w:rFonts w:hint="eastAsia" w:ascii="仿宋_GB2312" w:hAnsi="Times New Roman" w:eastAsia="仿宋_GB2312"/>
          <w:b/>
          <w:bCs/>
          <w:color w:val="000000" w:themeColor="text1"/>
          <w:sz w:val="24"/>
          <w:szCs w:val="28"/>
          <w14:textFill>
            <w14:solidFill>
              <w14:schemeClr w14:val="tx1"/>
            </w14:solidFill>
          </w14:textFill>
        </w:rPr>
        <w:t>4.3商务要求</w:t>
      </w:r>
    </w:p>
    <w:bookmarkEnd w:id="1"/>
    <w:bookmarkEnd w:id="2"/>
    <w:p>
      <w:pPr>
        <w:adjustRightInd w:val="0"/>
        <w:snapToGrid w:val="0"/>
        <w:spacing w:line="360" w:lineRule="auto"/>
        <w:ind w:firstLine="480" w:firstLineChars="200"/>
        <w:outlineLvl w:val="3"/>
        <w:rPr>
          <w:rFonts w:hint="eastAsia" w:ascii="仿宋_GB2312" w:hAnsi="Times New Roman" w:eastAsia="仿宋_GB2312"/>
          <w:b/>
          <w:bCs/>
          <w:color w:val="000000" w:themeColor="text1"/>
          <w:sz w:val="24"/>
          <w:szCs w:val="28"/>
          <w14:textFill>
            <w14:solidFill>
              <w14:schemeClr w14:val="tx1"/>
            </w14:solidFill>
          </w14:textFill>
        </w:rPr>
      </w:pPr>
      <w:r>
        <w:rPr>
          <w:rFonts w:hint="eastAsia" w:ascii="仿宋_GB2312" w:hAnsi="Times New Roman" w:eastAsia="仿宋_GB2312"/>
          <w:b/>
          <w:bCs/>
          <w:color w:val="000000" w:themeColor="text1"/>
          <w:sz w:val="24"/>
          <w:szCs w:val="28"/>
          <w14:textFill>
            <w14:solidFill>
              <w14:schemeClr w14:val="tx1"/>
            </w14:solidFill>
          </w14:textFill>
        </w:rPr>
        <w:t>4.</w:t>
      </w:r>
      <w:r>
        <w:rPr>
          <w:rFonts w:hint="eastAsia" w:ascii="仿宋_GB2312" w:hAnsi="Times New Roman" w:eastAsia="仿宋_GB2312"/>
          <w:b/>
          <w:bCs/>
          <w:color w:val="000000" w:themeColor="text1"/>
          <w:sz w:val="24"/>
          <w:szCs w:val="28"/>
          <w:lang w:val="en-US" w:eastAsia="zh-CN"/>
          <w14:textFill>
            <w14:solidFill>
              <w14:schemeClr w14:val="tx1"/>
            </w14:solidFill>
          </w14:textFill>
        </w:rPr>
        <w:t>3</w:t>
      </w:r>
      <w:r>
        <w:rPr>
          <w:rFonts w:hint="eastAsia" w:ascii="仿宋_GB2312" w:hAnsi="Times New Roman" w:eastAsia="仿宋_GB2312"/>
          <w:b/>
          <w:bCs/>
          <w:color w:val="000000" w:themeColor="text1"/>
          <w:sz w:val="24"/>
          <w:szCs w:val="28"/>
          <w14:textFill>
            <w14:solidFill>
              <w14:schemeClr w14:val="tx1"/>
            </w14:solidFill>
          </w14:textFill>
        </w:rPr>
        <w:t>.1投标要求</w:t>
      </w:r>
    </w:p>
    <w:p>
      <w:pPr>
        <w:adjustRightInd w:val="0"/>
        <w:snapToGrid w:val="0"/>
        <w:spacing w:line="360" w:lineRule="auto"/>
        <w:ind w:firstLine="480" w:firstLineChars="200"/>
        <w:rPr>
          <w:rFonts w:hint="eastAsia"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1)投标人应仔细阅读采购需求文件的所有内容，按要求编制投标文件，并对采购需求文件做出实质性响应，并保证所提供全部资料的真实性。</w:t>
      </w:r>
    </w:p>
    <w:p>
      <w:pPr>
        <w:adjustRightInd w:val="0"/>
        <w:snapToGrid w:val="0"/>
        <w:spacing w:line="360" w:lineRule="auto"/>
        <w:ind w:firstLine="480" w:firstLineChars="200"/>
        <w:rPr>
          <w:rFonts w:hint="eastAsia"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2)投标人应承担本项目的相关保密义务。未经采购人书面同意，不得将本项目相关信息透露给任何第三方。</w:t>
      </w:r>
    </w:p>
    <w:p>
      <w:pPr>
        <w:adjustRightInd w:val="0"/>
        <w:snapToGrid w:val="0"/>
        <w:spacing w:line="360" w:lineRule="auto"/>
        <w:ind w:firstLine="480" w:firstLineChars="200"/>
        <w:rPr>
          <w:rFonts w:hint="eastAsia"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3)投标人不得以任何方式转包或分包本项目。</w:t>
      </w:r>
    </w:p>
    <w:p>
      <w:pPr>
        <w:adjustRightInd w:val="0"/>
        <w:snapToGrid w:val="0"/>
        <w:spacing w:line="360" w:lineRule="auto"/>
        <w:ind w:firstLine="480" w:firstLineChars="200"/>
        <w:outlineLvl w:val="3"/>
        <w:rPr>
          <w:rFonts w:hint="eastAsia" w:ascii="仿宋_GB2312" w:hAnsi="Times New Roman" w:eastAsia="仿宋_GB2312"/>
          <w:b/>
          <w:bCs/>
          <w:color w:val="000000" w:themeColor="text1"/>
          <w:sz w:val="24"/>
          <w:szCs w:val="28"/>
          <w14:textFill>
            <w14:solidFill>
              <w14:schemeClr w14:val="tx1"/>
            </w14:solidFill>
          </w14:textFill>
        </w:rPr>
      </w:pPr>
      <w:r>
        <w:rPr>
          <w:rFonts w:hint="eastAsia" w:ascii="仿宋_GB2312" w:hAnsi="Times New Roman" w:eastAsia="仿宋_GB2312"/>
          <w:b/>
          <w:bCs/>
          <w:color w:val="000000" w:themeColor="text1"/>
          <w:sz w:val="24"/>
          <w:szCs w:val="28"/>
          <w14:textFill>
            <w14:solidFill>
              <w14:schemeClr w14:val="tx1"/>
            </w14:solidFill>
          </w14:textFill>
        </w:rPr>
        <w:t>4.</w:t>
      </w:r>
      <w:r>
        <w:rPr>
          <w:rFonts w:hint="eastAsia" w:ascii="仿宋_GB2312" w:hAnsi="Times New Roman" w:eastAsia="仿宋_GB2312"/>
          <w:b/>
          <w:bCs/>
          <w:color w:val="000000" w:themeColor="text1"/>
          <w:sz w:val="24"/>
          <w:szCs w:val="28"/>
          <w:lang w:val="en-US" w:eastAsia="zh-CN"/>
          <w14:textFill>
            <w14:solidFill>
              <w14:schemeClr w14:val="tx1"/>
            </w14:solidFill>
          </w14:textFill>
        </w:rPr>
        <w:t>3</w:t>
      </w:r>
      <w:r>
        <w:rPr>
          <w:rFonts w:hint="eastAsia" w:ascii="仿宋_GB2312" w:hAnsi="Times New Roman" w:eastAsia="仿宋_GB2312"/>
          <w:b/>
          <w:bCs/>
          <w:color w:val="000000" w:themeColor="text1"/>
          <w:sz w:val="24"/>
          <w:szCs w:val="28"/>
          <w14:textFill>
            <w14:solidFill>
              <w14:schemeClr w14:val="tx1"/>
            </w14:solidFill>
          </w14:textFill>
        </w:rPr>
        <w:t>.2报价要求</w:t>
      </w:r>
    </w:p>
    <w:p>
      <w:pPr>
        <w:adjustRightInd w:val="0"/>
        <w:snapToGrid w:val="0"/>
        <w:spacing w:line="360" w:lineRule="auto"/>
        <w:ind w:firstLine="480" w:firstLineChars="200"/>
        <w:rPr>
          <w:rFonts w:hint="eastAsia"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投标总报价须为人民币报价，且应是交钥匙工程（包含：相关手续费、软件使用及版权费用、人工费、通讯费、运输费、培训费、交通费、调研费、文献查阅、资料装订印刷费等完成本项目的所有相关费用）。因投标人自身原因造成漏报、少报的，或在合同实施过程中可能发生的其它费用（如：工期延迟、材料涨价、人工及交通成本增加等因素），应由其自行承担责任，采购人不再补偿。</w:t>
      </w:r>
    </w:p>
    <w:p>
      <w:pPr>
        <w:adjustRightInd w:val="0"/>
        <w:snapToGrid w:val="0"/>
        <w:spacing w:line="360" w:lineRule="auto"/>
        <w:ind w:firstLine="480" w:firstLineChars="200"/>
        <w:outlineLvl w:val="3"/>
        <w:rPr>
          <w:rFonts w:hint="eastAsia" w:ascii="仿宋_GB2312" w:hAnsi="Times New Roman" w:eastAsia="仿宋_GB2312"/>
          <w:b/>
          <w:bCs/>
          <w:color w:val="000000" w:themeColor="text1"/>
          <w:sz w:val="24"/>
          <w:szCs w:val="28"/>
          <w14:textFill>
            <w14:solidFill>
              <w14:schemeClr w14:val="tx1"/>
            </w14:solidFill>
          </w14:textFill>
        </w:rPr>
      </w:pPr>
      <w:r>
        <w:rPr>
          <w:rFonts w:hint="eastAsia" w:ascii="仿宋_GB2312" w:hAnsi="Times New Roman" w:eastAsia="仿宋_GB2312"/>
          <w:b/>
          <w:bCs/>
          <w:color w:val="000000" w:themeColor="text1"/>
          <w:sz w:val="24"/>
          <w:szCs w:val="28"/>
          <w14:textFill>
            <w14:solidFill>
              <w14:schemeClr w14:val="tx1"/>
            </w14:solidFill>
          </w14:textFill>
        </w:rPr>
        <w:t>4.</w:t>
      </w:r>
      <w:r>
        <w:rPr>
          <w:rFonts w:hint="eastAsia" w:ascii="仿宋_GB2312" w:hAnsi="Times New Roman" w:eastAsia="仿宋_GB2312"/>
          <w:b/>
          <w:bCs/>
          <w:color w:val="000000" w:themeColor="text1"/>
          <w:sz w:val="24"/>
          <w:szCs w:val="28"/>
          <w:lang w:val="en-US" w:eastAsia="zh-CN"/>
          <w14:textFill>
            <w14:solidFill>
              <w14:schemeClr w14:val="tx1"/>
            </w14:solidFill>
          </w14:textFill>
        </w:rPr>
        <w:t>3</w:t>
      </w:r>
      <w:r>
        <w:rPr>
          <w:rFonts w:hint="eastAsia" w:ascii="仿宋_GB2312" w:hAnsi="Times New Roman" w:eastAsia="仿宋_GB2312"/>
          <w:b/>
          <w:bCs/>
          <w:color w:val="000000" w:themeColor="text1"/>
          <w:sz w:val="24"/>
          <w:szCs w:val="28"/>
          <w14:textFill>
            <w14:solidFill>
              <w14:schemeClr w14:val="tx1"/>
            </w14:solidFill>
          </w14:textFill>
        </w:rPr>
        <w:t>.3知识产权</w:t>
      </w:r>
    </w:p>
    <w:p>
      <w:pPr>
        <w:adjustRightInd w:val="0"/>
        <w:snapToGrid w:val="0"/>
        <w:spacing w:line="360" w:lineRule="auto"/>
        <w:ind w:firstLine="480" w:firstLineChars="200"/>
        <w:rPr>
          <w:rFonts w:hint="eastAsia"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1)投标人必须保证采购人在接受其所提供服务期的任何时候不受到知识产权或版权的纠纷，否则由此产生的任何责任完全由投标人承担。</w:t>
      </w:r>
    </w:p>
    <w:p>
      <w:pPr>
        <w:adjustRightInd w:val="0"/>
        <w:snapToGrid w:val="0"/>
        <w:spacing w:line="360" w:lineRule="auto"/>
        <w:ind w:firstLine="480" w:firstLineChars="200"/>
        <w:rPr>
          <w:rFonts w:hint="eastAsia"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2)采购人拥有针对本项目形成的所有文档全部知识产权。未经采购人许可，投标人不得擅自使用全部或部分内容。</w:t>
      </w:r>
    </w:p>
    <w:p>
      <w:pPr>
        <w:adjustRightInd w:val="0"/>
        <w:snapToGrid w:val="0"/>
        <w:spacing w:line="360" w:lineRule="auto"/>
        <w:ind w:firstLine="480" w:firstLineChars="200"/>
        <w:outlineLvl w:val="3"/>
        <w:rPr>
          <w:rFonts w:hint="eastAsia" w:ascii="仿宋_GB2312" w:hAnsi="Times New Roman" w:eastAsia="仿宋_GB2312"/>
          <w:b/>
          <w:bCs/>
          <w:color w:val="000000" w:themeColor="text1"/>
          <w:sz w:val="24"/>
          <w:szCs w:val="28"/>
          <w14:textFill>
            <w14:solidFill>
              <w14:schemeClr w14:val="tx1"/>
            </w14:solidFill>
          </w14:textFill>
        </w:rPr>
      </w:pPr>
      <w:r>
        <w:rPr>
          <w:rFonts w:hint="eastAsia" w:ascii="仿宋_GB2312" w:hAnsi="Times New Roman" w:eastAsia="仿宋_GB2312"/>
          <w:b/>
          <w:bCs/>
          <w:color w:val="000000" w:themeColor="text1"/>
          <w:sz w:val="24"/>
          <w:szCs w:val="28"/>
          <w14:textFill>
            <w14:solidFill>
              <w14:schemeClr w14:val="tx1"/>
            </w14:solidFill>
          </w14:textFill>
        </w:rPr>
        <w:t>4.</w:t>
      </w:r>
      <w:r>
        <w:rPr>
          <w:rFonts w:hint="eastAsia" w:ascii="仿宋_GB2312" w:hAnsi="Times New Roman" w:eastAsia="仿宋_GB2312"/>
          <w:b/>
          <w:bCs/>
          <w:color w:val="000000" w:themeColor="text1"/>
          <w:sz w:val="24"/>
          <w:szCs w:val="28"/>
          <w:lang w:val="en-US" w:eastAsia="zh-CN"/>
          <w14:textFill>
            <w14:solidFill>
              <w14:schemeClr w14:val="tx1"/>
            </w14:solidFill>
          </w14:textFill>
        </w:rPr>
        <w:t>3</w:t>
      </w:r>
      <w:r>
        <w:rPr>
          <w:rFonts w:hint="eastAsia" w:ascii="仿宋_GB2312" w:hAnsi="Times New Roman" w:eastAsia="仿宋_GB2312"/>
          <w:b/>
          <w:bCs/>
          <w:color w:val="000000" w:themeColor="text1"/>
          <w:sz w:val="24"/>
          <w:szCs w:val="28"/>
          <w14:textFill>
            <w14:solidFill>
              <w14:schemeClr w14:val="tx1"/>
            </w14:solidFill>
          </w14:textFill>
        </w:rPr>
        <w:t>.4合同签订</w:t>
      </w:r>
    </w:p>
    <w:p>
      <w:pPr>
        <w:adjustRightInd w:val="0"/>
        <w:snapToGrid w:val="0"/>
        <w:spacing w:line="360" w:lineRule="auto"/>
        <w:ind w:firstLine="480" w:firstLineChars="200"/>
        <w:rPr>
          <w:rFonts w:hint="eastAsia"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投标人中标后，持相关证明与采购人签订合同。本项目招标文件、投标人投标文件均作为合同签订的基础。</w:t>
      </w:r>
    </w:p>
    <w:p>
      <w:pPr>
        <w:adjustRightInd w:val="0"/>
        <w:snapToGrid w:val="0"/>
        <w:spacing w:line="360" w:lineRule="auto"/>
        <w:ind w:firstLine="480" w:firstLineChars="200"/>
        <w:outlineLvl w:val="3"/>
        <w:rPr>
          <w:rFonts w:hint="eastAsia" w:ascii="仿宋_GB2312" w:hAnsi="Times New Roman" w:eastAsia="仿宋_GB2312"/>
          <w:b/>
          <w:bCs/>
          <w:color w:val="000000" w:themeColor="text1"/>
          <w:sz w:val="24"/>
          <w:szCs w:val="28"/>
          <w14:textFill>
            <w14:solidFill>
              <w14:schemeClr w14:val="tx1"/>
            </w14:solidFill>
          </w14:textFill>
        </w:rPr>
      </w:pPr>
      <w:r>
        <w:rPr>
          <w:rFonts w:hint="eastAsia" w:ascii="仿宋_GB2312" w:hAnsi="Times New Roman" w:eastAsia="仿宋_GB2312"/>
          <w:b/>
          <w:bCs/>
          <w:color w:val="000000" w:themeColor="text1"/>
          <w:sz w:val="24"/>
          <w:szCs w:val="28"/>
          <w14:textFill>
            <w14:solidFill>
              <w14:schemeClr w14:val="tx1"/>
            </w14:solidFill>
          </w14:textFill>
        </w:rPr>
        <w:t>4.</w:t>
      </w:r>
      <w:r>
        <w:rPr>
          <w:rFonts w:hint="eastAsia" w:ascii="仿宋_GB2312" w:hAnsi="Times New Roman" w:eastAsia="仿宋_GB2312"/>
          <w:b/>
          <w:bCs/>
          <w:color w:val="000000" w:themeColor="text1"/>
          <w:sz w:val="24"/>
          <w:szCs w:val="28"/>
          <w:lang w:val="en-US" w:eastAsia="zh-CN"/>
          <w14:textFill>
            <w14:solidFill>
              <w14:schemeClr w14:val="tx1"/>
            </w14:solidFill>
          </w14:textFill>
        </w:rPr>
        <w:t>3</w:t>
      </w:r>
      <w:r>
        <w:rPr>
          <w:rFonts w:hint="eastAsia" w:ascii="仿宋_GB2312" w:hAnsi="Times New Roman" w:eastAsia="仿宋_GB2312"/>
          <w:b/>
          <w:bCs/>
          <w:color w:val="000000" w:themeColor="text1"/>
          <w:sz w:val="24"/>
          <w:szCs w:val="28"/>
          <w14:textFill>
            <w14:solidFill>
              <w14:schemeClr w14:val="tx1"/>
            </w14:solidFill>
          </w14:textFill>
        </w:rPr>
        <w:t>.5付款方式</w:t>
      </w:r>
    </w:p>
    <w:p>
      <w:pPr>
        <w:adjustRightInd w:val="0"/>
        <w:snapToGrid w:val="0"/>
        <w:spacing w:line="360" w:lineRule="auto"/>
        <w:ind w:firstLine="480" w:firstLineChars="200"/>
        <w:rPr>
          <w:rFonts w:hint="eastAsia"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按合同约定执行。</w:t>
      </w:r>
    </w:p>
    <w:p>
      <w:pPr>
        <w:adjustRightInd w:val="0"/>
        <w:snapToGrid w:val="0"/>
        <w:spacing w:line="360" w:lineRule="auto"/>
        <w:ind w:firstLine="480" w:firstLineChars="200"/>
        <w:rPr>
          <w:rFonts w:hint="eastAsia" w:ascii="仿宋_GB2312" w:hAnsi="Times New Roman" w:eastAsia="仿宋_GB2312"/>
          <w:color w:val="000000" w:themeColor="text1"/>
          <w:sz w:val="24"/>
          <w:szCs w:val="28"/>
          <w14:textFill>
            <w14:solidFill>
              <w14:schemeClr w14:val="tx1"/>
            </w14:solidFill>
          </w14:textFill>
        </w:rPr>
      </w:pPr>
    </w:p>
    <w:sectPr>
      <w:footerReference r:id="rId3" w:type="default"/>
      <w:pgSz w:w="11906" w:h="16838"/>
      <w:pgMar w:top="1134" w:right="1191" w:bottom="1134" w:left="1191" w:header="851" w:footer="850"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64369190"/>
      <w:docPartObj>
        <w:docPartGallery w:val="autotext"/>
      </w:docPartObj>
    </w:sdtPr>
    <w:sdtContent>
      <w:p>
        <w:pPr>
          <w:pStyle w:val="13"/>
          <w:ind w:firstLine="480"/>
          <w:jc w:val="center"/>
        </w:pPr>
        <w:r>
          <w:fldChar w:fldCharType="begin"/>
        </w:r>
        <w:r>
          <w:instrText xml:space="preserve">PAGE   \* MERGEFORMAT</w:instrText>
        </w:r>
        <w:r>
          <w:fldChar w:fldCharType="separate"/>
        </w:r>
        <w:r>
          <w:rPr>
            <w:lang w:val="zh-CN"/>
          </w:rPr>
          <w:t>1</w:t>
        </w:r>
        <w:r>
          <w:rPr>
            <w:lang w:val="zh-CN"/>
          </w:rPr>
          <w:fldChar w:fldCharType="end"/>
        </w:r>
      </w:p>
    </w:sdtContent>
  </w:sdt>
  <w:p>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F139E9"/>
    <w:multiLevelType w:val="multilevel"/>
    <w:tmpl w:val="47F139E9"/>
    <w:lvl w:ilvl="0" w:tentative="0">
      <w:start w:val="1"/>
      <w:numFmt w:val="decimal"/>
      <w:pStyle w:val="28"/>
      <w:lvlText w:val="第%1章"/>
      <w:lvlJc w:val="left"/>
      <w:pPr>
        <w:tabs>
          <w:tab w:val="left" w:pos="0"/>
        </w:tabs>
        <w:ind w:left="420" w:hanging="420"/>
      </w:pPr>
      <w:rPr>
        <w:lang w:val="en-US"/>
      </w:rPr>
    </w:lvl>
    <w:lvl w:ilvl="1" w:tentative="0">
      <w:start w:val="1"/>
      <w:numFmt w:val="decimal"/>
      <w:pStyle w:val="27"/>
      <w:lvlText w:val="%1.%2"/>
      <w:lvlJc w:val="left"/>
      <w:pPr>
        <w:tabs>
          <w:tab w:val="left" w:pos="862"/>
        </w:tabs>
        <w:ind w:left="709" w:hanging="567"/>
      </w:pPr>
    </w:lvl>
    <w:lvl w:ilvl="2" w:tentative="0">
      <w:start w:val="1"/>
      <w:numFmt w:val="decimal"/>
      <w:pStyle w:val="30"/>
      <w:lvlText w:val="%1.%2.%3"/>
      <w:lvlJc w:val="left"/>
      <w:pPr>
        <w:tabs>
          <w:tab w:val="left" w:pos="1710"/>
        </w:tabs>
        <w:ind w:left="1197" w:hanging="567"/>
      </w:pPr>
    </w:lvl>
    <w:lvl w:ilvl="3" w:tentative="0">
      <w:start w:val="1"/>
      <w:numFmt w:val="decimal"/>
      <w:pStyle w:val="29"/>
      <w:lvlText w:val="2.%4"/>
      <w:lvlJc w:val="left"/>
      <w:pPr>
        <w:tabs>
          <w:tab w:val="left" w:pos="2433"/>
        </w:tabs>
        <w:ind w:left="1701" w:hanging="708"/>
      </w:pPr>
    </w:lvl>
    <w:lvl w:ilvl="4" w:tentative="0">
      <w:start w:val="1"/>
      <w:numFmt w:val="decimal"/>
      <w:lvlText w:val="%1.%2.%3.%4.%5"/>
      <w:lvlJc w:val="left"/>
      <w:pPr>
        <w:tabs>
          <w:tab w:val="left" w:pos="3501"/>
        </w:tabs>
        <w:ind w:left="2551" w:hanging="850"/>
      </w:pPr>
    </w:lvl>
    <w:lvl w:ilvl="5" w:tentative="0">
      <w:start w:val="1"/>
      <w:numFmt w:val="decimal"/>
      <w:lvlText w:val="%1.%2.%3.%4.%5.%6"/>
      <w:lvlJc w:val="left"/>
      <w:pPr>
        <w:tabs>
          <w:tab w:val="left" w:pos="4286"/>
        </w:tabs>
        <w:ind w:left="3260" w:hanging="1134"/>
      </w:pPr>
    </w:lvl>
    <w:lvl w:ilvl="6" w:tentative="0">
      <w:start w:val="1"/>
      <w:numFmt w:val="decimal"/>
      <w:lvlText w:val="%1.%2.%3.%4.%5.%6.%7"/>
      <w:lvlJc w:val="left"/>
      <w:pPr>
        <w:tabs>
          <w:tab w:val="left" w:pos="5071"/>
        </w:tabs>
        <w:ind w:left="3827" w:hanging="1276"/>
      </w:pPr>
    </w:lvl>
    <w:lvl w:ilvl="7" w:tentative="0">
      <w:start w:val="1"/>
      <w:numFmt w:val="decimal"/>
      <w:lvlText w:val="%1.%2.%3.%4.%5.%6.%7.%8"/>
      <w:lvlJc w:val="left"/>
      <w:pPr>
        <w:tabs>
          <w:tab w:val="left" w:pos="5856"/>
        </w:tabs>
        <w:ind w:left="4394" w:hanging="1418"/>
      </w:pPr>
    </w:lvl>
    <w:lvl w:ilvl="8" w:tentative="0">
      <w:start w:val="1"/>
      <w:numFmt w:val="decimal"/>
      <w:lvlText w:val="%1.%2.%3.%4.%5.%6.%7.%8.%9"/>
      <w:lvlJc w:val="left"/>
      <w:pPr>
        <w:tabs>
          <w:tab w:val="left" w:pos="6642"/>
        </w:tabs>
        <w:ind w:left="5102" w:hanging="1700"/>
      </w:pPr>
    </w:lvl>
  </w:abstractNum>
  <w:abstractNum w:abstractNumId="1">
    <w:nsid w:val="4A097B50"/>
    <w:multiLevelType w:val="multilevel"/>
    <w:tmpl w:val="4A097B50"/>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0A1"/>
    <w:rsid w:val="00005445"/>
    <w:rsid w:val="0000589C"/>
    <w:rsid w:val="00011529"/>
    <w:rsid w:val="0002126A"/>
    <w:rsid w:val="000227D8"/>
    <w:rsid w:val="00025716"/>
    <w:rsid w:val="000308CD"/>
    <w:rsid w:val="00032D71"/>
    <w:rsid w:val="00033400"/>
    <w:rsid w:val="0003655A"/>
    <w:rsid w:val="00041CC3"/>
    <w:rsid w:val="00042B3A"/>
    <w:rsid w:val="00042FC3"/>
    <w:rsid w:val="0004410A"/>
    <w:rsid w:val="000528F8"/>
    <w:rsid w:val="00053E8F"/>
    <w:rsid w:val="0005699D"/>
    <w:rsid w:val="0006143B"/>
    <w:rsid w:val="00062C75"/>
    <w:rsid w:val="0006474C"/>
    <w:rsid w:val="00077EA2"/>
    <w:rsid w:val="00083F9E"/>
    <w:rsid w:val="000847F9"/>
    <w:rsid w:val="00087C03"/>
    <w:rsid w:val="0009089D"/>
    <w:rsid w:val="000922E7"/>
    <w:rsid w:val="00094645"/>
    <w:rsid w:val="000970FA"/>
    <w:rsid w:val="000A1622"/>
    <w:rsid w:val="000A571C"/>
    <w:rsid w:val="000A684C"/>
    <w:rsid w:val="000A73A3"/>
    <w:rsid w:val="000B5D11"/>
    <w:rsid w:val="000B7641"/>
    <w:rsid w:val="000C02A0"/>
    <w:rsid w:val="000C05CF"/>
    <w:rsid w:val="000C079F"/>
    <w:rsid w:val="000C272D"/>
    <w:rsid w:val="000C7196"/>
    <w:rsid w:val="000D3154"/>
    <w:rsid w:val="000D3580"/>
    <w:rsid w:val="000D3BEC"/>
    <w:rsid w:val="000E678A"/>
    <w:rsid w:val="000F51F9"/>
    <w:rsid w:val="000F6F43"/>
    <w:rsid w:val="001045C6"/>
    <w:rsid w:val="00105DB0"/>
    <w:rsid w:val="00107CC8"/>
    <w:rsid w:val="00113C03"/>
    <w:rsid w:val="00117033"/>
    <w:rsid w:val="0012540D"/>
    <w:rsid w:val="001306D1"/>
    <w:rsid w:val="00133569"/>
    <w:rsid w:val="0013373D"/>
    <w:rsid w:val="00142F9C"/>
    <w:rsid w:val="00153736"/>
    <w:rsid w:val="00157BF7"/>
    <w:rsid w:val="00160F9F"/>
    <w:rsid w:val="00161631"/>
    <w:rsid w:val="001675F2"/>
    <w:rsid w:val="001723E8"/>
    <w:rsid w:val="0017492E"/>
    <w:rsid w:val="0017637A"/>
    <w:rsid w:val="00177540"/>
    <w:rsid w:val="00180639"/>
    <w:rsid w:val="001837B9"/>
    <w:rsid w:val="00192A23"/>
    <w:rsid w:val="001938EF"/>
    <w:rsid w:val="001A537A"/>
    <w:rsid w:val="001A5B66"/>
    <w:rsid w:val="001B1A32"/>
    <w:rsid w:val="001B26ED"/>
    <w:rsid w:val="001C2AEF"/>
    <w:rsid w:val="001C385B"/>
    <w:rsid w:val="001C3C05"/>
    <w:rsid w:val="001C56A3"/>
    <w:rsid w:val="001C6A26"/>
    <w:rsid w:val="001C7480"/>
    <w:rsid w:val="001D2E98"/>
    <w:rsid w:val="001D4612"/>
    <w:rsid w:val="001D65B2"/>
    <w:rsid w:val="001D7A67"/>
    <w:rsid w:val="001F1460"/>
    <w:rsid w:val="001F4187"/>
    <w:rsid w:val="001F6C8C"/>
    <w:rsid w:val="00201132"/>
    <w:rsid w:val="0020225E"/>
    <w:rsid w:val="002048F0"/>
    <w:rsid w:val="002065E3"/>
    <w:rsid w:val="00206AD2"/>
    <w:rsid w:val="002108C9"/>
    <w:rsid w:val="00211F69"/>
    <w:rsid w:val="002176BC"/>
    <w:rsid w:val="00221D21"/>
    <w:rsid w:val="00231D59"/>
    <w:rsid w:val="00231F6A"/>
    <w:rsid w:val="0023219D"/>
    <w:rsid w:val="00234D1D"/>
    <w:rsid w:val="002352A4"/>
    <w:rsid w:val="00236170"/>
    <w:rsid w:val="00240A5D"/>
    <w:rsid w:val="00263630"/>
    <w:rsid w:val="00264692"/>
    <w:rsid w:val="00270B10"/>
    <w:rsid w:val="00272C56"/>
    <w:rsid w:val="0027336B"/>
    <w:rsid w:val="00274E36"/>
    <w:rsid w:val="002761F0"/>
    <w:rsid w:val="00282D8C"/>
    <w:rsid w:val="0028470D"/>
    <w:rsid w:val="0028479D"/>
    <w:rsid w:val="00284929"/>
    <w:rsid w:val="00284A20"/>
    <w:rsid w:val="002879E0"/>
    <w:rsid w:val="00290226"/>
    <w:rsid w:val="0029393D"/>
    <w:rsid w:val="00296F0E"/>
    <w:rsid w:val="002A0C28"/>
    <w:rsid w:val="002A16D3"/>
    <w:rsid w:val="002A4A1B"/>
    <w:rsid w:val="002A7775"/>
    <w:rsid w:val="002B1003"/>
    <w:rsid w:val="002B14C4"/>
    <w:rsid w:val="002B1D88"/>
    <w:rsid w:val="002B4D33"/>
    <w:rsid w:val="002C236E"/>
    <w:rsid w:val="002C642A"/>
    <w:rsid w:val="002C7B64"/>
    <w:rsid w:val="002D0C8A"/>
    <w:rsid w:val="002D68F0"/>
    <w:rsid w:val="002D7D4D"/>
    <w:rsid w:val="002F0365"/>
    <w:rsid w:val="002F3352"/>
    <w:rsid w:val="002F5D10"/>
    <w:rsid w:val="002F6ED3"/>
    <w:rsid w:val="00300E0C"/>
    <w:rsid w:val="00302F1D"/>
    <w:rsid w:val="0030455A"/>
    <w:rsid w:val="00307EBA"/>
    <w:rsid w:val="00316DE9"/>
    <w:rsid w:val="00317447"/>
    <w:rsid w:val="003238BA"/>
    <w:rsid w:val="00333689"/>
    <w:rsid w:val="003338A2"/>
    <w:rsid w:val="00334C07"/>
    <w:rsid w:val="00336368"/>
    <w:rsid w:val="003446C6"/>
    <w:rsid w:val="00350BD7"/>
    <w:rsid w:val="00353972"/>
    <w:rsid w:val="00355444"/>
    <w:rsid w:val="003647EE"/>
    <w:rsid w:val="00364E17"/>
    <w:rsid w:val="0036568E"/>
    <w:rsid w:val="00365754"/>
    <w:rsid w:val="003708AD"/>
    <w:rsid w:val="00370994"/>
    <w:rsid w:val="003709CF"/>
    <w:rsid w:val="003729C8"/>
    <w:rsid w:val="003740C7"/>
    <w:rsid w:val="00375B5B"/>
    <w:rsid w:val="00376D6F"/>
    <w:rsid w:val="00383CB7"/>
    <w:rsid w:val="00397981"/>
    <w:rsid w:val="003A0781"/>
    <w:rsid w:val="003A3CBB"/>
    <w:rsid w:val="003A4317"/>
    <w:rsid w:val="003B1A2D"/>
    <w:rsid w:val="003B43DD"/>
    <w:rsid w:val="003B501D"/>
    <w:rsid w:val="003B6C80"/>
    <w:rsid w:val="003C252A"/>
    <w:rsid w:val="003C47C9"/>
    <w:rsid w:val="003C7091"/>
    <w:rsid w:val="003D09BC"/>
    <w:rsid w:val="003D534D"/>
    <w:rsid w:val="003D6C6E"/>
    <w:rsid w:val="003D7A88"/>
    <w:rsid w:val="003E6A53"/>
    <w:rsid w:val="003E75FE"/>
    <w:rsid w:val="003F3291"/>
    <w:rsid w:val="003F39CF"/>
    <w:rsid w:val="003F70BC"/>
    <w:rsid w:val="003F7247"/>
    <w:rsid w:val="00404216"/>
    <w:rsid w:val="00411249"/>
    <w:rsid w:val="0041186F"/>
    <w:rsid w:val="00411876"/>
    <w:rsid w:val="004122D1"/>
    <w:rsid w:val="004135F6"/>
    <w:rsid w:val="0041698E"/>
    <w:rsid w:val="00421956"/>
    <w:rsid w:val="00421EBA"/>
    <w:rsid w:val="004353F1"/>
    <w:rsid w:val="00442476"/>
    <w:rsid w:val="00442C36"/>
    <w:rsid w:val="00454EC3"/>
    <w:rsid w:val="00456105"/>
    <w:rsid w:val="004650ED"/>
    <w:rsid w:val="004669B2"/>
    <w:rsid w:val="00474DCA"/>
    <w:rsid w:val="004769E4"/>
    <w:rsid w:val="0048230E"/>
    <w:rsid w:val="0048300D"/>
    <w:rsid w:val="00483C0C"/>
    <w:rsid w:val="00487A57"/>
    <w:rsid w:val="00492B35"/>
    <w:rsid w:val="004B0624"/>
    <w:rsid w:val="004B61DD"/>
    <w:rsid w:val="004C257F"/>
    <w:rsid w:val="004F6ADA"/>
    <w:rsid w:val="004F7922"/>
    <w:rsid w:val="00502002"/>
    <w:rsid w:val="00505EE2"/>
    <w:rsid w:val="00527DD8"/>
    <w:rsid w:val="0053305C"/>
    <w:rsid w:val="00534440"/>
    <w:rsid w:val="00534FB0"/>
    <w:rsid w:val="00537A2C"/>
    <w:rsid w:val="00550F94"/>
    <w:rsid w:val="0055185C"/>
    <w:rsid w:val="00554BEB"/>
    <w:rsid w:val="005576BE"/>
    <w:rsid w:val="00560610"/>
    <w:rsid w:val="005610BB"/>
    <w:rsid w:val="00565E5A"/>
    <w:rsid w:val="00567650"/>
    <w:rsid w:val="00567E02"/>
    <w:rsid w:val="005708FD"/>
    <w:rsid w:val="00570E38"/>
    <w:rsid w:val="00572250"/>
    <w:rsid w:val="00575333"/>
    <w:rsid w:val="00581146"/>
    <w:rsid w:val="00585330"/>
    <w:rsid w:val="005853D0"/>
    <w:rsid w:val="00585EB2"/>
    <w:rsid w:val="005911AC"/>
    <w:rsid w:val="005933C3"/>
    <w:rsid w:val="005950C0"/>
    <w:rsid w:val="005A05D8"/>
    <w:rsid w:val="005A3330"/>
    <w:rsid w:val="005A5066"/>
    <w:rsid w:val="005A709F"/>
    <w:rsid w:val="005B1FAC"/>
    <w:rsid w:val="005B206F"/>
    <w:rsid w:val="005B3C10"/>
    <w:rsid w:val="005C0E0B"/>
    <w:rsid w:val="005C3A69"/>
    <w:rsid w:val="005C3D3E"/>
    <w:rsid w:val="005C415F"/>
    <w:rsid w:val="005D52AC"/>
    <w:rsid w:val="005E1680"/>
    <w:rsid w:val="005E4361"/>
    <w:rsid w:val="005E4F9C"/>
    <w:rsid w:val="005E5763"/>
    <w:rsid w:val="005E6AA9"/>
    <w:rsid w:val="005F0708"/>
    <w:rsid w:val="005F7472"/>
    <w:rsid w:val="006003A3"/>
    <w:rsid w:val="00600DC0"/>
    <w:rsid w:val="00601A9B"/>
    <w:rsid w:val="00606985"/>
    <w:rsid w:val="00612F3C"/>
    <w:rsid w:val="00615895"/>
    <w:rsid w:val="00616C46"/>
    <w:rsid w:val="00621A31"/>
    <w:rsid w:val="006241F0"/>
    <w:rsid w:val="006254AB"/>
    <w:rsid w:val="006328B1"/>
    <w:rsid w:val="00632B4A"/>
    <w:rsid w:val="0063784C"/>
    <w:rsid w:val="00640E7B"/>
    <w:rsid w:val="00642221"/>
    <w:rsid w:val="006515CC"/>
    <w:rsid w:val="006531C8"/>
    <w:rsid w:val="006609CA"/>
    <w:rsid w:val="00667B98"/>
    <w:rsid w:val="00671B02"/>
    <w:rsid w:val="006721DE"/>
    <w:rsid w:val="0067322E"/>
    <w:rsid w:val="00676E8A"/>
    <w:rsid w:val="00681FD1"/>
    <w:rsid w:val="00683254"/>
    <w:rsid w:val="0068391F"/>
    <w:rsid w:val="00686CFF"/>
    <w:rsid w:val="00687083"/>
    <w:rsid w:val="00690F22"/>
    <w:rsid w:val="00691783"/>
    <w:rsid w:val="00693E8B"/>
    <w:rsid w:val="0069438B"/>
    <w:rsid w:val="006A1F0D"/>
    <w:rsid w:val="006A37D4"/>
    <w:rsid w:val="006A66A1"/>
    <w:rsid w:val="006B2860"/>
    <w:rsid w:val="006B44F8"/>
    <w:rsid w:val="006B5139"/>
    <w:rsid w:val="006B5906"/>
    <w:rsid w:val="006B5B9C"/>
    <w:rsid w:val="006D513C"/>
    <w:rsid w:val="006D6024"/>
    <w:rsid w:val="006E2697"/>
    <w:rsid w:val="006E4B09"/>
    <w:rsid w:val="006E7779"/>
    <w:rsid w:val="006F691C"/>
    <w:rsid w:val="007010F8"/>
    <w:rsid w:val="007038B6"/>
    <w:rsid w:val="00703B0F"/>
    <w:rsid w:val="00706164"/>
    <w:rsid w:val="00706B90"/>
    <w:rsid w:val="00712163"/>
    <w:rsid w:val="007145AE"/>
    <w:rsid w:val="0071788F"/>
    <w:rsid w:val="00720ABE"/>
    <w:rsid w:val="007241FF"/>
    <w:rsid w:val="00730D7E"/>
    <w:rsid w:val="0073164F"/>
    <w:rsid w:val="007370A1"/>
    <w:rsid w:val="00744B52"/>
    <w:rsid w:val="00746FC2"/>
    <w:rsid w:val="007512B4"/>
    <w:rsid w:val="0075394F"/>
    <w:rsid w:val="00755599"/>
    <w:rsid w:val="00757ABC"/>
    <w:rsid w:val="0076197F"/>
    <w:rsid w:val="00763CED"/>
    <w:rsid w:val="00765950"/>
    <w:rsid w:val="00774A8F"/>
    <w:rsid w:val="00783B20"/>
    <w:rsid w:val="007902DA"/>
    <w:rsid w:val="007936EE"/>
    <w:rsid w:val="007A31D8"/>
    <w:rsid w:val="007A45A0"/>
    <w:rsid w:val="007A5A0B"/>
    <w:rsid w:val="007A5BC6"/>
    <w:rsid w:val="007A6B35"/>
    <w:rsid w:val="007A7B6D"/>
    <w:rsid w:val="007B16D3"/>
    <w:rsid w:val="007B1D32"/>
    <w:rsid w:val="007C14DA"/>
    <w:rsid w:val="007C38BA"/>
    <w:rsid w:val="007C4104"/>
    <w:rsid w:val="007C622A"/>
    <w:rsid w:val="007D2AFB"/>
    <w:rsid w:val="007D3139"/>
    <w:rsid w:val="007D4D17"/>
    <w:rsid w:val="007E479C"/>
    <w:rsid w:val="007E49D6"/>
    <w:rsid w:val="007E5CEB"/>
    <w:rsid w:val="007F0C11"/>
    <w:rsid w:val="007F3F33"/>
    <w:rsid w:val="007F4FD4"/>
    <w:rsid w:val="007F7A43"/>
    <w:rsid w:val="00802918"/>
    <w:rsid w:val="00802B9E"/>
    <w:rsid w:val="00802C37"/>
    <w:rsid w:val="008035C2"/>
    <w:rsid w:val="0081546F"/>
    <w:rsid w:val="00831AEA"/>
    <w:rsid w:val="008407B4"/>
    <w:rsid w:val="008414CA"/>
    <w:rsid w:val="008425B7"/>
    <w:rsid w:val="0084365A"/>
    <w:rsid w:val="00843ED0"/>
    <w:rsid w:val="008446B9"/>
    <w:rsid w:val="0084590E"/>
    <w:rsid w:val="0085042B"/>
    <w:rsid w:val="0085298E"/>
    <w:rsid w:val="0085323B"/>
    <w:rsid w:val="0085661B"/>
    <w:rsid w:val="00861AAF"/>
    <w:rsid w:val="008638C6"/>
    <w:rsid w:val="00870DE3"/>
    <w:rsid w:val="00872936"/>
    <w:rsid w:val="0087661A"/>
    <w:rsid w:val="00882C66"/>
    <w:rsid w:val="008904E6"/>
    <w:rsid w:val="0089623E"/>
    <w:rsid w:val="008A1A43"/>
    <w:rsid w:val="008A3F3D"/>
    <w:rsid w:val="008A4EBA"/>
    <w:rsid w:val="008A7F1D"/>
    <w:rsid w:val="008B0CB7"/>
    <w:rsid w:val="008B2BA2"/>
    <w:rsid w:val="008B3F6D"/>
    <w:rsid w:val="008B68D7"/>
    <w:rsid w:val="008C1066"/>
    <w:rsid w:val="008C54F3"/>
    <w:rsid w:val="008E14AF"/>
    <w:rsid w:val="008E3CA2"/>
    <w:rsid w:val="008E516E"/>
    <w:rsid w:val="008E7BCB"/>
    <w:rsid w:val="008F27BD"/>
    <w:rsid w:val="008F3AEE"/>
    <w:rsid w:val="008F5688"/>
    <w:rsid w:val="009013A2"/>
    <w:rsid w:val="00902B12"/>
    <w:rsid w:val="009061D1"/>
    <w:rsid w:val="00910347"/>
    <w:rsid w:val="00914F2F"/>
    <w:rsid w:val="0091579F"/>
    <w:rsid w:val="00916A13"/>
    <w:rsid w:val="00923EEC"/>
    <w:rsid w:val="00930C56"/>
    <w:rsid w:val="0093503F"/>
    <w:rsid w:val="00936216"/>
    <w:rsid w:val="0094475F"/>
    <w:rsid w:val="009504E6"/>
    <w:rsid w:val="00950693"/>
    <w:rsid w:val="00950A15"/>
    <w:rsid w:val="00953E3A"/>
    <w:rsid w:val="0095413B"/>
    <w:rsid w:val="0095556E"/>
    <w:rsid w:val="0096150E"/>
    <w:rsid w:val="00961DFF"/>
    <w:rsid w:val="00962DFD"/>
    <w:rsid w:val="00971ADA"/>
    <w:rsid w:val="0097246B"/>
    <w:rsid w:val="00974366"/>
    <w:rsid w:val="00977CC2"/>
    <w:rsid w:val="00981469"/>
    <w:rsid w:val="00982FB4"/>
    <w:rsid w:val="00985925"/>
    <w:rsid w:val="00985ABC"/>
    <w:rsid w:val="009861EB"/>
    <w:rsid w:val="0099128A"/>
    <w:rsid w:val="00992F55"/>
    <w:rsid w:val="00993F30"/>
    <w:rsid w:val="009A022E"/>
    <w:rsid w:val="009A0F5D"/>
    <w:rsid w:val="009A4613"/>
    <w:rsid w:val="009B2E64"/>
    <w:rsid w:val="009B3A9A"/>
    <w:rsid w:val="009C0CB8"/>
    <w:rsid w:val="009C35D6"/>
    <w:rsid w:val="009C3DEE"/>
    <w:rsid w:val="009C6081"/>
    <w:rsid w:val="009D797D"/>
    <w:rsid w:val="009D7DD9"/>
    <w:rsid w:val="009E0861"/>
    <w:rsid w:val="009E2837"/>
    <w:rsid w:val="009E426C"/>
    <w:rsid w:val="009E5419"/>
    <w:rsid w:val="009E58F8"/>
    <w:rsid w:val="009F1388"/>
    <w:rsid w:val="009F34C5"/>
    <w:rsid w:val="009F38E8"/>
    <w:rsid w:val="009F4D0B"/>
    <w:rsid w:val="009F54F6"/>
    <w:rsid w:val="009F7A66"/>
    <w:rsid w:val="00A0012B"/>
    <w:rsid w:val="00A02F9F"/>
    <w:rsid w:val="00A046E1"/>
    <w:rsid w:val="00A058D6"/>
    <w:rsid w:val="00A05DB3"/>
    <w:rsid w:val="00A07EA9"/>
    <w:rsid w:val="00A1434E"/>
    <w:rsid w:val="00A228DF"/>
    <w:rsid w:val="00A25697"/>
    <w:rsid w:val="00A256A0"/>
    <w:rsid w:val="00A35098"/>
    <w:rsid w:val="00A539FC"/>
    <w:rsid w:val="00A6295F"/>
    <w:rsid w:val="00A72B83"/>
    <w:rsid w:val="00A73A47"/>
    <w:rsid w:val="00A83812"/>
    <w:rsid w:val="00A87276"/>
    <w:rsid w:val="00A92130"/>
    <w:rsid w:val="00A9344E"/>
    <w:rsid w:val="00A93F08"/>
    <w:rsid w:val="00A97A0F"/>
    <w:rsid w:val="00AA12F9"/>
    <w:rsid w:val="00AA57B0"/>
    <w:rsid w:val="00AB7E70"/>
    <w:rsid w:val="00AC1737"/>
    <w:rsid w:val="00AC178E"/>
    <w:rsid w:val="00AD18ED"/>
    <w:rsid w:val="00AD4DFB"/>
    <w:rsid w:val="00AD709F"/>
    <w:rsid w:val="00AE22A6"/>
    <w:rsid w:val="00AE2426"/>
    <w:rsid w:val="00AE5B15"/>
    <w:rsid w:val="00AF4C9B"/>
    <w:rsid w:val="00AF5F03"/>
    <w:rsid w:val="00B05BE0"/>
    <w:rsid w:val="00B230E7"/>
    <w:rsid w:val="00B3697A"/>
    <w:rsid w:val="00B4194D"/>
    <w:rsid w:val="00B44C47"/>
    <w:rsid w:val="00B4795F"/>
    <w:rsid w:val="00B52D58"/>
    <w:rsid w:val="00B54A3D"/>
    <w:rsid w:val="00B564CC"/>
    <w:rsid w:val="00B56827"/>
    <w:rsid w:val="00B572E3"/>
    <w:rsid w:val="00B65C13"/>
    <w:rsid w:val="00B67080"/>
    <w:rsid w:val="00B70988"/>
    <w:rsid w:val="00B75EFF"/>
    <w:rsid w:val="00B82F07"/>
    <w:rsid w:val="00B90097"/>
    <w:rsid w:val="00B95A1B"/>
    <w:rsid w:val="00BA701C"/>
    <w:rsid w:val="00BB3E60"/>
    <w:rsid w:val="00BB4656"/>
    <w:rsid w:val="00BC74A4"/>
    <w:rsid w:val="00BE230D"/>
    <w:rsid w:val="00BE2924"/>
    <w:rsid w:val="00BE5E82"/>
    <w:rsid w:val="00BE76E5"/>
    <w:rsid w:val="00BF10DF"/>
    <w:rsid w:val="00C01D7A"/>
    <w:rsid w:val="00C02162"/>
    <w:rsid w:val="00C04B34"/>
    <w:rsid w:val="00C05A39"/>
    <w:rsid w:val="00C05E72"/>
    <w:rsid w:val="00C14603"/>
    <w:rsid w:val="00C22D6E"/>
    <w:rsid w:val="00C260F9"/>
    <w:rsid w:val="00C3083E"/>
    <w:rsid w:val="00C3124A"/>
    <w:rsid w:val="00C34F6E"/>
    <w:rsid w:val="00C362A3"/>
    <w:rsid w:val="00C37063"/>
    <w:rsid w:val="00C37295"/>
    <w:rsid w:val="00C449D4"/>
    <w:rsid w:val="00C45B44"/>
    <w:rsid w:val="00C463C0"/>
    <w:rsid w:val="00C46C15"/>
    <w:rsid w:val="00C52D71"/>
    <w:rsid w:val="00C60D8F"/>
    <w:rsid w:val="00C73C72"/>
    <w:rsid w:val="00C809BF"/>
    <w:rsid w:val="00C84AEB"/>
    <w:rsid w:val="00C84C51"/>
    <w:rsid w:val="00C85BB4"/>
    <w:rsid w:val="00C876AD"/>
    <w:rsid w:val="00C91D74"/>
    <w:rsid w:val="00C926A5"/>
    <w:rsid w:val="00C93BB0"/>
    <w:rsid w:val="00C97689"/>
    <w:rsid w:val="00C9783D"/>
    <w:rsid w:val="00CA044B"/>
    <w:rsid w:val="00CA2450"/>
    <w:rsid w:val="00CB7E4D"/>
    <w:rsid w:val="00CC5B81"/>
    <w:rsid w:val="00CC727D"/>
    <w:rsid w:val="00CD313F"/>
    <w:rsid w:val="00CE31AC"/>
    <w:rsid w:val="00CE43C9"/>
    <w:rsid w:val="00CF4E27"/>
    <w:rsid w:val="00CF614C"/>
    <w:rsid w:val="00D000B0"/>
    <w:rsid w:val="00D00CC4"/>
    <w:rsid w:val="00D01039"/>
    <w:rsid w:val="00D027C0"/>
    <w:rsid w:val="00D157D5"/>
    <w:rsid w:val="00D168FC"/>
    <w:rsid w:val="00D16CEF"/>
    <w:rsid w:val="00D21F90"/>
    <w:rsid w:val="00D25435"/>
    <w:rsid w:val="00D2561D"/>
    <w:rsid w:val="00D27102"/>
    <w:rsid w:val="00D346F8"/>
    <w:rsid w:val="00D35793"/>
    <w:rsid w:val="00D42F5A"/>
    <w:rsid w:val="00D44037"/>
    <w:rsid w:val="00D44129"/>
    <w:rsid w:val="00D447D7"/>
    <w:rsid w:val="00D45E6D"/>
    <w:rsid w:val="00D469EC"/>
    <w:rsid w:val="00D515E7"/>
    <w:rsid w:val="00D668AE"/>
    <w:rsid w:val="00D66990"/>
    <w:rsid w:val="00D73523"/>
    <w:rsid w:val="00D7721C"/>
    <w:rsid w:val="00D77571"/>
    <w:rsid w:val="00D81E03"/>
    <w:rsid w:val="00D91047"/>
    <w:rsid w:val="00D94ED3"/>
    <w:rsid w:val="00D95FB7"/>
    <w:rsid w:val="00D9720C"/>
    <w:rsid w:val="00DA28EE"/>
    <w:rsid w:val="00DA4431"/>
    <w:rsid w:val="00DA79DE"/>
    <w:rsid w:val="00DB307A"/>
    <w:rsid w:val="00DB4B4B"/>
    <w:rsid w:val="00DC0367"/>
    <w:rsid w:val="00DC5F04"/>
    <w:rsid w:val="00DF035E"/>
    <w:rsid w:val="00DF2BD2"/>
    <w:rsid w:val="00DF712A"/>
    <w:rsid w:val="00E07511"/>
    <w:rsid w:val="00E0763C"/>
    <w:rsid w:val="00E10FF0"/>
    <w:rsid w:val="00E1333E"/>
    <w:rsid w:val="00E13D6E"/>
    <w:rsid w:val="00E23601"/>
    <w:rsid w:val="00E2767F"/>
    <w:rsid w:val="00E27F55"/>
    <w:rsid w:val="00E3097C"/>
    <w:rsid w:val="00E336F5"/>
    <w:rsid w:val="00E36E5F"/>
    <w:rsid w:val="00E4265F"/>
    <w:rsid w:val="00E46589"/>
    <w:rsid w:val="00E50EDF"/>
    <w:rsid w:val="00E52E03"/>
    <w:rsid w:val="00E53D84"/>
    <w:rsid w:val="00E55880"/>
    <w:rsid w:val="00E5762F"/>
    <w:rsid w:val="00E6080D"/>
    <w:rsid w:val="00E64880"/>
    <w:rsid w:val="00E6773B"/>
    <w:rsid w:val="00E677FF"/>
    <w:rsid w:val="00E73DC7"/>
    <w:rsid w:val="00E74066"/>
    <w:rsid w:val="00E74FC7"/>
    <w:rsid w:val="00E75635"/>
    <w:rsid w:val="00E77B2F"/>
    <w:rsid w:val="00E91066"/>
    <w:rsid w:val="00E9135B"/>
    <w:rsid w:val="00E91C4A"/>
    <w:rsid w:val="00EA081B"/>
    <w:rsid w:val="00EA269D"/>
    <w:rsid w:val="00EA54A0"/>
    <w:rsid w:val="00EB15F4"/>
    <w:rsid w:val="00EB31F7"/>
    <w:rsid w:val="00EB31FD"/>
    <w:rsid w:val="00EC05EC"/>
    <w:rsid w:val="00EC2890"/>
    <w:rsid w:val="00ED6BF3"/>
    <w:rsid w:val="00ED6EED"/>
    <w:rsid w:val="00EE2E8E"/>
    <w:rsid w:val="00EE3090"/>
    <w:rsid w:val="00EF01C9"/>
    <w:rsid w:val="00EF7816"/>
    <w:rsid w:val="00F052DB"/>
    <w:rsid w:val="00F060F8"/>
    <w:rsid w:val="00F11B4A"/>
    <w:rsid w:val="00F129C2"/>
    <w:rsid w:val="00F135BA"/>
    <w:rsid w:val="00F171B7"/>
    <w:rsid w:val="00F179AE"/>
    <w:rsid w:val="00F2052D"/>
    <w:rsid w:val="00F2101F"/>
    <w:rsid w:val="00F30A9E"/>
    <w:rsid w:val="00F36B0A"/>
    <w:rsid w:val="00F37C6C"/>
    <w:rsid w:val="00F37F30"/>
    <w:rsid w:val="00F4161D"/>
    <w:rsid w:val="00F41DE7"/>
    <w:rsid w:val="00F42D26"/>
    <w:rsid w:val="00F43466"/>
    <w:rsid w:val="00F43705"/>
    <w:rsid w:val="00F44C35"/>
    <w:rsid w:val="00F46A52"/>
    <w:rsid w:val="00F51700"/>
    <w:rsid w:val="00F6243B"/>
    <w:rsid w:val="00F6262D"/>
    <w:rsid w:val="00F65C76"/>
    <w:rsid w:val="00F66BBD"/>
    <w:rsid w:val="00F75150"/>
    <w:rsid w:val="00F769AE"/>
    <w:rsid w:val="00F814D2"/>
    <w:rsid w:val="00F81721"/>
    <w:rsid w:val="00F81892"/>
    <w:rsid w:val="00F823C6"/>
    <w:rsid w:val="00F85321"/>
    <w:rsid w:val="00F87E9F"/>
    <w:rsid w:val="00F9004E"/>
    <w:rsid w:val="00F90166"/>
    <w:rsid w:val="00F90F17"/>
    <w:rsid w:val="00F91AFF"/>
    <w:rsid w:val="00F9476B"/>
    <w:rsid w:val="00F958C6"/>
    <w:rsid w:val="00F97E38"/>
    <w:rsid w:val="00FA1894"/>
    <w:rsid w:val="00FB3CCA"/>
    <w:rsid w:val="00FB4DA1"/>
    <w:rsid w:val="00FB6D47"/>
    <w:rsid w:val="00FB7037"/>
    <w:rsid w:val="00FC0056"/>
    <w:rsid w:val="00FC07C7"/>
    <w:rsid w:val="00FD3137"/>
    <w:rsid w:val="00FD5472"/>
    <w:rsid w:val="00FD6210"/>
    <w:rsid w:val="00FD74FE"/>
    <w:rsid w:val="00FD763E"/>
    <w:rsid w:val="00FD7FB2"/>
    <w:rsid w:val="00FE4817"/>
    <w:rsid w:val="00FE60BA"/>
    <w:rsid w:val="00FF00C0"/>
    <w:rsid w:val="00FF02C4"/>
    <w:rsid w:val="00FF2BAF"/>
    <w:rsid w:val="20202DD1"/>
    <w:rsid w:val="293D7679"/>
    <w:rsid w:val="2B510EA0"/>
    <w:rsid w:val="34C80486"/>
    <w:rsid w:val="3DD9748D"/>
    <w:rsid w:val="3E8C1A03"/>
    <w:rsid w:val="52F00AE7"/>
    <w:rsid w:val="575B1ED8"/>
    <w:rsid w:val="5D632395"/>
    <w:rsid w:val="662A64F9"/>
    <w:rsid w:val="687262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2">
    <w:name w:val="heading 2"/>
    <w:basedOn w:val="1"/>
    <w:next w:val="1"/>
    <w:link w:val="22"/>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33"/>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8">
    <w:name w:val="Default Paragraph Font"/>
    <w:semiHidden/>
    <w:unhideWhenUsed/>
    <w:qFormat/>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6">
    <w:name w:val="Normal Indent"/>
    <w:basedOn w:val="1"/>
    <w:link w:val="40"/>
    <w:qFormat/>
    <w:uiPriority w:val="0"/>
    <w:pPr>
      <w:ind w:firstLine="420"/>
    </w:pPr>
    <w:rPr>
      <w:szCs w:val="24"/>
    </w:rPr>
  </w:style>
  <w:style w:type="paragraph" w:styleId="7">
    <w:name w:val="Document Map"/>
    <w:basedOn w:val="1"/>
    <w:link w:val="41"/>
    <w:semiHidden/>
    <w:unhideWhenUsed/>
    <w:qFormat/>
    <w:uiPriority w:val="99"/>
    <w:rPr>
      <w:rFonts w:ascii="宋体"/>
      <w:sz w:val="18"/>
      <w:szCs w:val="18"/>
    </w:rPr>
  </w:style>
  <w:style w:type="paragraph" w:styleId="8">
    <w:name w:val="annotation text"/>
    <w:basedOn w:val="1"/>
    <w:link w:val="36"/>
    <w:unhideWhenUsed/>
    <w:qFormat/>
    <w:uiPriority w:val="99"/>
    <w:pPr>
      <w:jc w:val="left"/>
    </w:pPr>
  </w:style>
  <w:style w:type="paragraph" w:styleId="9">
    <w:name w:val="Body Text"/>
    <w:basedOn w:val="1"/>
    <w:link w:val="32"/>
    <w:semiHidden/>
    <w:unhideWhenUsed/>
    <w:qFormat/>
    <w:uiPriority w:val="99"/>
    <w:pPr>
      <w:spacing w:after="120"/>
    </w:pPr>
  </w:style>
  <w:style w:type="paragraph" w:styleId="10">
    <w:name w:val="Plain Text"/>
    <w:basedOn w:val="1"/>
    <w:link w:val="35"/>
    <w:qFormat/>
    <w:uiPriority w:val="0"/>
    <w:rPr>
      <w:rFonts w:ascii="宋体" w:hAnsi="Courier New" w:cs="Courier New"/>
      <w:szCs w:val="21"/>
    </w:rPr>
  </w:style>
  <w:style w:type="paragraph" w:styleId="11">
    <w:name w:val="Date"/>
    <w:basedOn w:val="1"/>
    <w:next w:val="1"/>
    <w:link w:val="34"/>
    <w:semiHidden/>
    <w:unhideWhenUsed/>
    <w:qFormat/>
    <w:uiPriority w:val="99"/>
    <w:pPr>
      <w:ind w:left="100" w:leftChars="2500"/>
    </w:pPr>
  </w:style>
  <w:style w:type="paragraph" w:styleId="12">
    <w:name w:val="Balloon Text"/>
    <w:basedOn w:val="1"/>
    <w:link w:val="25"/>
    <w:semiHidden/>
    <w:unhideWhenUsed/>
    <w:uiPriority w:val="99"/>
    <w:rPr>
      <w:sz w:val="18"/>
      <w:szCs w:val="18"/>
    </w:rPr>
  </w:style>
  <w:style w:type="paragraph" w:styleId="13">
    <w:name w:val="footer"/>
    <w:basedOn w:val="1"/>
    <w:link w:val="21"/>
    <w:unhideWhenUsed/>
    <w:qFormat/>
    <w:uiPriority w:val="99"/>
    <w:pPr>
      <w:tabs>
        <w:tab w:val="center" w:pos="4153"/>
        <w:tab w:val="right" w:pos="8306"/>
      </w:tabs>
      <w:snapToGrid w:val="0"/>
      <w:jc w:val="left"/>
    </w:pPr>
    <w:rPr>
      <w:sz w:val="18"/>
      <w:szCs w:val="18"/>
    </w:rPr>
  </w:style>
  <w:style w:type="paragraph" w:styleId="14">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6">
    <w:name w:val="annotation subject"/>
    <w:basedOn w:val="8"/>
    <w:next w:val="8"/>
    <w:link w:val="37"/>
    <w:semiHidden/>
    <w:unhideWhenUsed/>
    <w:qFormat/>
    <w:uiPriority w:val="99"/>
    <w:rPr>
      <w:b/>
      <w:bCs/>
    </w:rPr>
  </w:style>
  <w:style w:type="character" w:styleId="19">
    <w:name w:val="annotation reference"/>
    <w:basedOn w:val="18"/>
    <w:semiHidden/>
    <w:unhideWhenUsed/>
    <w:qFormat/>
    <w:uiPriority w:val="99"/>
    <w:rPr>
      <w:sz w:val="21"/>
      <w:szCs w:val="21"/>
    </w:rPr>
  </w:style>
  <w:style w:type="character" w:customStyle="1" w:styleId="20">
    <w:name w:val="页眉 Char"/>
    <w:basedOn w:val="18"/>
    <w:link w:val="14"/>
    <w:qFormat/>
    <w:uiPriority w:val="99"/>
    <w:rPr>
      <w:sz w:val="18"/>
      <w:szCs w:val="18"/>
    </w:rPr>
  </w:style>
  <w:style w:type="character" w:customStyle="1" w:styleId="21">
    <w:name w:val="页脚 Char"/>
    <w:basedOn w:val="18"/>
    <w:link w:val="13"/>
    <w:qFormat/>
    <w:uiPriority w:val="99"/>
    <w:rPr>
      <w:rFonts w:ascii="Calibri" w:hAnsi="Calibri" w:eastAsia="宋体" w:cs="Times New Roman"/>
      <w:sz w:val="18"/>
      <w:szCs w:val="18"/>
    </w:rPr>
  </w:style>
  <w:style w:type="character" w:customStyle="1" w:styleId="22">
    <w:name w:val="标题 2 Char"/>
    <w:basedOn w:val="18"/>
    <w:link w:val="2"/>
    <w:qFormat/>
    <w:uiPriority w:val="0"/>
    <w:rPr>
      <w:rFonts w:ascii="Cambria" w:hAnsi="Cambria" w:eastAsia="宋体" w:cs="Times New Roman"/>
      <w:b/>
      <w:bCs/>
      <w:kern w:val="0"/>
      <w:sz w:val="32"/>
      <w:szCs w:val="32"/>
    </w:rPr>
  </w:style>
  <w:style w:type="paragraph" w:styleId="23">
    <w:name w:val="List Paragraph"/>
    <w:basedOn w:val="1"/>
    <w:link w:val="24"/>
    <w:qFormat/>
    <w:uiPriority w:val="0"/>
    <w:pPr>
      <w:ind w:firstLine="420" w:firstLineChars="200"/>
    </w:pPr>
  </w:style>
  <w:style w:type="character" w:customStyle="1" w:styleId="24">
    <w:name w:val="列出段落 Char"/>
    <w:link w:val="23"/>
    <w:qFormat/>
    <w:uiPriority w:val="0"/>
    <w:rPr>
      <w:rFonts w:ascii="Calibri" w:hAnsi="Calibri" w:eastAsia="宋体" w:cs="Times New Roman"/>
    </w:rPr>
  </w:style>
  <w:style w:type="character" w:customStyle="1" w:styleId="25">
    <w:name w:val="批注框文本 Char"/>
    <w:basedOn w:val="18"/>
    <w:link w:val="12"/>
    <w:semiHidden/>
    <w:qFormat/>
    <w:uiPriority w:val="99"/>
    <w:rPr>
      <w:rFonts w:ascii="Calibri" w:hAnsi="Calibri" w:eastAsia="宋体" w:cs="Times New Roman"/>
      <w:sz w:val="18"/>
      <w:szCs w:val="18"/>
    </w:rPr>
  </w:style>
  <w:style w:type="character" w:customStyle="1" w:styleId="26">
    <w:name w:val="标题 3 Char"/>
    <w:basedOn w:val="18"/>
    <w:link w:val="4"/>
    <w:semiHidden/>
    <w:qFormat/>
    <w:uiPriority w:val="9"/>
    <w:rPr>
      <w:rFonts w:ascii="Calibri" w:hAnsi="Calibri" w:eastAsia="宋体" w:cs="Times New Roman"/>
      <w:b/>
      <w:bCs/>
      <w:sz w:val="32"/>
      <w:szCs w:val="32"/>
    </w:rPr>
  </w:style>
  <w:style w:type="paragraph" w:customStyle="1" w:styleId="27">
    <w:name w:val="A标题2"/>
    <w:basedOn w:val="2"/>
    <w:qFormat/>
    <w:uiPriority w:val="0"/>
    <w:pPr>
      <w:numPr>
        <w:ilvl w:val="1"/>
        <w:numId w:val="1"/>
      </w:numPr>
      <w:tabs>
        <w:tab w:val="left" w:pos="360"/>
        <w:tab w:val="clear" w:pos="862"/>
      </w:tabs>
      <w:snapToGrid w:val="0"/>
      <w:spacing w:beforeLines="50" w:afterLines="50" w:line="240" w:lineRule="auto"/>
      <w:ind w:left="1549" w:hanging="420"/>
    </w:pPr>
    <w:rPr>
      <w:rFonts w:ascii="宋体" w:hAnsi="宋体"/>
      <w:color w:val="000000"/>
      <w:kern w:val="44"/>
      <w:sz w:val="28"/>
    </w:rPr>
  </w:style>
  <w:style w:type="paragraph" w:customStyle="1" w:styleId="28">
    <w:name w:val="A标题1"/>
    <w:basedOn w:val="3"/>
    <w:next w:val="9"/>
    <w:qFormat/>
    <w:uiPriority w:val="0"/>
    <w:pPr>
      <w:keepNext w:val="0"/>
      <w:keepLines w:val="0"/>
      <w:pageBreakBefore/>
      <w:numPr>
        <w:ilvl w:val="0"/>
        <w:numId w:val="1"/>
      </w:numPr>
      <w:tabs>
        <w:tab w:val="left" w:pos="360"/>
        <w:tab w:val="left" w:pos="1276"/>
        <w:tab w:val="clear" w:pos="0"/>
      </w:tabs>
      <w:spacing w:beforeLines="170" w:afterLines="170" w:line="240" w:lineRule="auto"/>
      <w:ind w:left="840" w:firstLine="0"/>
      <w:jc w:val="center"/>
    </w:pPr>
    <w:rPr>
      <w:rFonts w:ascii="Times New Roman" w:hAnsi="Times New Roman" w:eastAsia="黑体"/>
      <w:bCs w:val="0"/>
    </w:rPr>
  </w:style>
  <w:style w:type="paragraph" w:customStyle="1" w:styleId="29">
    <w:name w:val="A标题4"/>
    <w:basedOn w:val="5"/>
    <w:qFormat/>
    <w:uiPriority w:val="0"/>
    <w:pPr>
      <w:numPr>
        <w:ilvl w:val="3"/>
        <w:numId w:val="1"/>
      </w:numPr>
      <w:tabs>
        <w:tab w:val="left" w:pos="360"/>
        <w:tab w:val="clear" w:pos="2433"/>
      </w:tabs>
      <w:spacing w:beforeLines="50" w:afterLines="50" w:line="240" w:lineRule="auto"/>
      <w:ind w:left="0" w:right="210" w:rightChars="100" w:firstLine="0"/>
    </w:pPr>
    <w:rPr>
      <w:rFonts w:ascii="Times New Roman" w:hAnsi="Times New Roman" w:eastAsia="黑体" w:cs="Times New Roman"/>
      <w:b w:val="0"/>
      <w:color w:val="000000"/>
      <w:sz w:val="24"/>
      <w:szCs w:val="44"/>
    </w:rPr>
  </w:style>
  <w:style w:type="paragraph" w:customStyle="1" w:styleId="30">
    <w:name w:val="A标题3"/>
    <w:basedOn w:val="4"/>
    <w:qFormat/>
    <w:uiPriority w:val="0"/>
    <w:pPr>
      <w:numPr>
        <w:ilvl w:val="2"/>
        <w:numId w:val="1"/>
      </w:numPr>
      <w:tabs>
        <w:tab w:val="left" w:pos="360"/>
        <w:tab w:val="clear" w:pos="1710"/>
      </w:tabs>
      <w:spacing w:beforeLines="50" w:afterLines="50" w:line="240" w:lineRule="auto"/>
      <w:ind w:left="1617" w:right="210" w:rightChars="100" w:firstLine="0"/>
    </w:pPr>
    <w:rPr>
      <w:rFonts w:ascii="黑体" w:hAnsi="宋体" w:eastAsia="黑体"/>
      <w:bCs w:val="0"/>
      <w:color w:val="000000"/>
      <w:kern w:val="44"/>
      <w:sz w:val="28"/>
      <w:szCs w:val="24"/>
    </w:rPr>
  </w:style>
  <w:style w:type="character" w:customStyle="1" w:styleId="31">
    <w:name w:val="标题 1 Char"/>
    <w:basedOn w:val="18"/>
    <w:link w:val="3"/>
    <w:qFormat/>
    <w:uiPriority w:val="9"/>
    <w:rPr>
      <w:rFonts w:ascii="Calibri" w:hAnsi="Calibri" w:eastAsia="宋体" w:cs="Times New Roman"/>
      <w:b/>
      <w:bCs/>
      <w:kern w:val="44"/>
      <w:sz w:val="44"/>
      <w:szCs w:val="44"/>
    </w:rPr>
  </w:style>
  <w:style w:type="character" w:customStyle="1" w:styleId="32">
    <w:name w:val="正文文本 Char"/>
    <w:basedOn w:val="18"/>
    <w:link w:val="9"/>
    <w:semiHidden/>
    <w:qFormat/>
    <w:uiPriority w:val="99"/>
    <w:rPr>
      <w:rFonts w:ascii="Calibri" w:hAnsi="Calibri" w:eastAsia="宋体" w:cs="Times New Roman"/>
    </w:rPr>
  </w:style>
  <w:style w:type="character" w:customStyle="1" w:styleId="33">
    <w:name w:val="标题 4 Char"/>
    <w:basedOn w:val="18"/>
    <w:link w:val="5"/>
    <w:semiHidden/>
    <w:qFormat/>
    <w:uiPriority w:val="9"/>
    <w:rPr>
      <w:rFonts w:asciiTheme="majorHAnsi" w:hAnsiTheme="majorHAnsi" w:eastAsiaTheme="majorEastAsia" w:cstheme="majorBidi"/>
      <w:b/>
      <w:bCs/>
      <w:sz w:val="28"/>
      <w:szCs w:val="28"/>
    </w:rPr>
  </w:style>
  <w:style w:type="character" w:customStyle="1" w:styleId="34">
    <w:name w:val="日期 Char"/>
    <w:basedOn w:val="18"/>
    <w:link w:val="11"/>
    <w:semiHidden/>
    <w:qFormat/>
    <w:uiPriority w:val="99"/>
    <w:rPr>
      <w:rFonts w:ascii="Calibri" w:hAnsi="Calibri" w:eastAsia="宋体" w:cs="Times New Roman"/>
    </w:rPr>
  </w:style>
  <w:style w:type="character" w:customStyle="1" w:styleId="35">
    <w:name w:val="纯文本 Char"/>
    <w:basedOn w:val="18"/>
    <w:link w:val="10"/>
    <w:qFormat/>
    <w:uiPriority w:val="0"/>
    <w:rPr>
      <w:rFonts w:ascii="宋体" w:hAnsi="Courier New" w:eastAsia="宋体" w:cs="Courier New"/>
      <w:szCs w:val="21"/>
    </w:rPr>
  </w:style>
  <w:style w:type="character" w:customStyle="1" w:styleId="36">
    <w:name w:val="批注文字 Char"/>
    <w:basedOn w:val="18"/>
    <w:link w:val="8"/>
    <w:qFormat/>
    <w:uiPriority w:val="99"/>
    <w:rPr>
      <w:rFonts w:ascii="Calibri" w:hAnsi="Calibri" w:eastAsia="宋体" w:cs="Times New Roman"/>
    </w:rPr>
  </w:style>
  <w:style w:type="character" w:customStyle="1" w:styleId="37">
    <w:name w:val="批注主题 Char"/>
    <w:basedOn w:val="36"/>
    <w:link w:val="16"/>
    <w:semiHidden/>
    <w:qFormat/>
    <w:uiPriority w:val="99"/>
    <w:rPr>
      <w:rFonts w:ascii="Calibri" w:hAnsi="Calibri" w:eastAsia="宋体" w:cs="Times New Roman"/>
      <w:b/>
      <w:bCs/>
    </w:rPr>
  </w:style>
  <w:style w:type="paragraph" w:customStyle="1" w:styleId="38">
    <w:name w:val="样式 正文缩进 + 首行缩进:  2 字符"/>
    <w:basedOn w:val="6"/>
    <w:qFormat/>
    <w:uiPriority w:val="0"/>
    <w:pPr>
      <w:spacing w:line="360" w:lineRule="auto"/>
      <w:ind w:firstLine="200" w:firstLineChars="200"/>
    </w:pPr>
    <w:rPr>
      <w:rFonts w:cs="宋体"/>
      <w:sz w:val="24"/>
      <w:szCs w:val="20"/>
    </w:rPr>
  </w:style>
  <w:style w:type="paragraph" w:customStyle="1" w:styleId="39">
    <w:name w:val="列出段落1"/>
    <w:basedOn w:val="1"/>
    <w:qFormat/>
    <w:uiPriority w:val="0"/>
    <w:pPr>
      <w:spacing w:line="360" w:lineRule="auto"/>
      <w:ind w:firstLine="420" w:firstLineChars="200"/>
    </w:pPr>
    <w:rPr>
      <w:rFonts w:ascii="宋体" w:hAnsi="华文细黑"/>
      <w:color w:val="000000"/>
      <w:szCs w:val="24"/>
    </w:rPr>
  </w:style>
  <w:style w:type="character" w:customStyle="1" w:styleId="40">
    <w:name w:val="正文缩进 Char"/>
    <w:link w:val="6"/>
    <w:qFormat/>
    <w:locked/>
    <w:uiPriority w:val="0"/>
    <w:rPr>
      <w:rFonts w:ascii="Calibri" w:hAnsi="Calibri" w:eastAsia="宋体" w:cs="Times New Roman"/>
      <w:szCs w:val="24"/>
    </w:rPr>
  </w:style>
  <w:style w:type="character" w:customStyle="1" w:styleId="41">
    <w:name w:val="文档结构图 Char"/>
    <w:basedOn w:val="18"/>
    <w:link w:val="7"/>
    <w:semiHidden/>
    <w:qFormat/>
    <w:uiPriority w:val="99"/>
    <w:rPr>
      <w:rFonts w:ascii="宋体" w:hAnsi="Calibri"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724</Words>
  <Characters>4133</Characters>
  <Lines>34</Lines>
  <Paragraphs>9</Paragraphs>
  <TotalTime>0</TotalTime>
  <ScaleCrop>false</ScaleCrop>
  <LinksUpToDate>false</LinksUpToDate>
  <CharactersWithSpaces>4848</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2021-03-25T08:37:00Z</dcterms:created>
  <dc:creator>孙俊菲</dc:creator>
  <cp:lastModifiedBy>邱杰</cp:lastModifiedBy>
  <cp:lastPrinted>2020-12-29T10:43:00Z</cp:lastPrinted>
  <dcterms:modified xsi:type="dcterms:W3CDTF">2021-11-08T11:35:33Z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61682930A6114300935B84B6DE50655C</vt:lpwstr>
  </property>
</Properties>
</file>