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exact"/>
        <w:ind w:left="0" w:right="0" w:firstLine="0"/>
        <w:jc w:val="left"/>
        <w:rPr>
          <w:rFonts w:ascii="黑体" w:hAnsi="黑体" w:eastAsia="黑体" w:cs="宋?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?"/>
          <w:b w:val="0"/>
          <w:bCs w:val="0"/>
          <w:kern w:val="0"/>
          <w:sz w:val="32"/>
          <w:szCs w:val="32"/>
        </w:rPr>
        <w:t>产品参数</w:t>
      </w:r>
    </w:p>
    <w:tbl>
      <w:tblPr>
        <w:tblStyle w:val="2"/>
        <w:tblpPr w:leftFromText="180" w:rightFromText="180" w:vertAnchor="text" w:horzAnchor="page" w:tblpX="951" w:tblpY="339"/>
        <w:tblW w:w="100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3004"/>
        <w:gridCol w:w="60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4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eastAsia="zh-CN"/>
              </w:rPr>
              <w:t>科维特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液晶监视器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尺寸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eastAsia="zh-CN"/>
              </w:rPr>
              <w:t>科威特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-28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寸液晶监视器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4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default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4个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4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 w:firstLine="0"/>
              <w:jc w:val="center"/>
              <w:rPr>
                <w:rFonts w:hint="eastAsia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default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2000元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4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 w:firstLine="0"/>
              <w:jc w:val="center"/>
              <w:rPr>
                <w:rFonts w:hint="eastAsia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eastAsia="zh-CN"/>
              </w:rPr>
              <w:t>总价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default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8000元（包安装、人工、运输、材料等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面板</w:t>
            </w:r>
          </w:p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参数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面板类型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8" w:lineRule="exact"/>
              <w:ind w:left="92" w:leftChars="44" w:right="0" w:firstLine="158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-28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” TFT-LCD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显示尺寸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680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mm×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410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mm(W×H)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像素尺寸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0.421mm(H)×0.421mm(V)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显示比例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16:9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背光类型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LED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分 辨 率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7" w:leftChars="100" w:right="0" w:hanging="7" w:hangingChars="5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1920*1080 60HZ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7" w:leftChars="100" w:right="0" w:hanging="7" w:hangingChars="5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7" w:leftChars="100" w:right="0" w:hanging="7" w:hangingChars="5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7" w:leftChars="100" w:right="0" w:hanging="7" w:hangingChars="5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7" w:leftChars="100" w:right="0" w:hanging="7" w:hangingChars="5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7" w:leftChars="100" w:right="0" w:hanging="7" w:hangingChars="5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7" w:leftChars="100" w:right="0" w:hanging="7" w:hangingChars="5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7" w:leftChars="100" w:right="0" w:hanging="7" w:hangingChars="5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7" w:leftChars="100" w:right="0" w:hanging="7" w:hangingChars="5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显示色彩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7" w:leftChars="100" w:right="0" w:hanging="7" w:hangingChars="5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16.7M(8bit)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w w:val="66"/>
                <w:kern w:val="0"/>
                <w:sz w:val="24"/>
                <w:szCs w:val="24"/>
              </w:rPr>
              <w:t>亮 度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sz w:val="24"/>
                <w:szCs w:val="24"/>
              </w:rPr>
              <w:t>cd/m²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对 比 度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3000:1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可视角度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178°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响应时间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≤5ms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使用寿命命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60000 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功能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总线控制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sz w:val="24"/>
                <w:szCs w:val="24"/>
              </w:rPr>
              <w:t>²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彩色制式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PAL/NTSC/SECAM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菜单语言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简体中文、繁体中文、英文多国语言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操作方式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按键+遥控器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输入</w:t>
            </w:r>
          </w:p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输出</w:t>
            </w:r>
          </w:p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接口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D-15 针 RGB 输入(VGA)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DVI 输入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HDMI 输入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复合视频输入(AV)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2个(BNC*2)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复合视频输出（AV）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2个BNC(1Vp-p)环通输出,可接录像设备等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Audio输入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2组(PC/AV各1组)  （可选）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USB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用于升级程序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控制信号输入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1个RS232（RJ45-8 接口）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控制信号环出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1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2个RS232（RJ45-8 接口）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电源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电源输入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内置电源，AC90-250V,50 /60Hz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电源功耗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≤40W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待机功耗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≤1W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工作环境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工作温度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0℃ ～50℃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存储温度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-20℃ ～60℃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工作/存储湿度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10% ～85%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安装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机柜/支架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定制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安装辅料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标配壁挂件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安装方式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机柜式、嵌入式、壁挂式、吊装式、台式等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产品</w:t>
            </w:r>
          </w:p>
          <w:p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相关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产品尺寸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680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mm×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0mm×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  <w:lang w:val="en-US" w:eastAsia="zh-CN"/>
              </w:rPr>
              <w:t>115</w:t>
            </w: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mm(W×H×D)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779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外观颜色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黑色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779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外壳材质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SPCC冷轧钢板表面烤漆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779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产品认证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ISO9001、中国电气产品强制认证(3C)等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779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净重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约18KG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</w:trPr>
        <w:tc>
          <w:tcPr>
            <w:tcW w:w="9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 w:after="100" w:afterAutospacing="1" w:line="779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4" w:lineRule="exact"/>
              <w:ind w:left="221" w:leftChars="100" w:right="0" w:hanging="11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6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80" w:lineRule="exact"/>
              <w:ind w:left="210" w:leftChars="100" w:right="0"/>
              <w:jc w:val="center"/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66"/>
                <w:kern w:val="0"/>
                <w:sz w:val="24"/>
                <w:szCs w:val="24"/>
              </w:rPr>
              <w:t>所有元器件及包装辅料符合国际环保标准</w:t>
            </w:r>
          </w:p>
        </w:tc>
      </w:tr>
    </w:tbl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333333"/>
          <w:sz w:val="36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sz w:val="36"/>
          <w:szCs w:val="36"/>
          <w:lang w:val="en-US" w:eastAsia="zh-CN"/>
        </w:rPr>
        <w:t>产品要求：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在现有电视墙整体不变的情况下， 特定制4台与原电视墙预留孔洞相匹配工业级监视器，屏体长宽为680MM*410MM，屏体不带控制器厚70MM， 带控制器厚为115，此规格参数为必须项，其它具体功能及参数如下：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1、液晶屏具有高分辨率，高亮度，高对比度、宽视角，显示清晰，失真度小，亮度均匀等特点，图像色彩靓丽、还原性更好、层次感突出，显示出液晶监视器的独特效果。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2、自动识别视频制式PAL/NTSC。RS232/RS485控制、红外线控制功能两种控制方式。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3、整机全金属结构，无电磁辐射和抗电磁干扰。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4、液晶监视器提供模拟视频、VGA接口、数字DVI、数字HDMI、色差分量接口、DP接口、USB接口，BNC接口等多种信号的接入与显示功能，并具有模拟视频环通输出接口，保证产品应用时具备最大的兼容性和灵活性。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5、应用最新色彩校正技术及独特宽视角处理技术，对动、静态图像画面处理更具专业性，可视角度可达178°以上，使得画质清晰、逼真，还原性更好、层次感更突出。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6、采用特殊图像勾边电路，能有效提升图像的锐度、使得图像轮廓更分明、层次感更强。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7、液晶监视器采用3D高画质图像数字处理技术，即3D数字梳状滤波和3D数字图像降噪技术，大大消除图像细节的杂波干扰、边缘锯齿现象。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8、采用H2S宽动态技术，解决主控机二次重复播放时的失真、衰减等现象，能自动适应不同场频状态下的高速图像信号，实现图像的稳定、清晰、实时性。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9、液晶监视器具有防烁伤技术，有效防止液晶屏被灼伤，很好的解决在静止画面时液晶分子容易被损伤的情况，有效延长监视器的使用寿命。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10、液晶监视器具有智能温控节能技术，可自动感应当前工作温度，自动开启或关闭散热风扇，更加节能环保，减小噪音产生。用户可根据现场情况自行设定温度值，当温度超过设定值时，智能温控系统会自动出现高温提醒标志，提醒用户当前显示单元工作温度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11、液晶监视器具有智能背光灯调节功能，智能感应环境及实时图像的光线强弱，可自动调节液晶屏幕背光发光亮度及图像的亮度和对比度，使得图像更加柔和、细腻，层次感更强烈，同时能耗也随着降低。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12、液晶监视器具有动态对比度提升功能，采用动态对比度提升技术，与区域智能背光调节技术相结合，可使图像动态对比度最高可达500万：1，静态图像对比度也达到3000:1以上，从而进一步提升图像景深层次感。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13、液晶监视器具有节能工作模式，支持正常显示、节能模式、睡眠模式、关闭等多种模式选择，合理利用资源，节能环保。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14、液晶监视器具有USB接口，支持利用移动硬盘（U盘）等设备，在单台设备上进行图片展示或视频信号浏览，也可支持在线升级程序，避免了繁琐的拆卸安装。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15、具有高可靠、高稳定，使用寿命长，采用工业级的电源模组，低噪音风扇散热系统，系统稳定可靠。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0"/>
          <w:szCs w:val="20"/>
        </w:rPr>
      </w:pPr>
      <w:r>
        <w:rPr>
          <w:rFonts w:hint="eastAsia" w:ascii="方正楷体_GBK" w:hAnsi="方正楷体_GBK" w:eastAsia="方正楷体_GBK" w:cs="方正楷体_GBK"/>
          <w:color w:val="333333"/>
          <w:sz w:val="24"/>
          <w:szCs w:val="24"/>
          <w:lang w:val="en-US" w:eastAsia="zh-CN"/>
        </w:rPr>
        <w:t>16、支持7x24小时不间断运行，其整机平均无故障时间要求大于60,000小时。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楷体_GBK" w:hAnsi="方正楷体_GBK" w:eastAsia="方正楷体_GBK" w:cs="方正楷体_GBK"/>
        </w:rPr>
      </w:pPr>
    </w:p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方正书宋_GBK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FE065"/>
    <w:rsid w:val="753FE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2022-06-06T09:00:00Z</dcterms:created>
  <dc:creator>wjw</dc:creator>
  <cp:lastModifiedBy>wjw</cp:lastModifiedBy>
  <dcterms:modified xsi:type="dcterms:W3CDTF">2022-06-06T09:06:56Z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