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黑体" w:hAnsi="黑体" w:eastAsia="黑体" w:cs="黑体"/>
          <w:b w:val="0"/>
          <w:bCs w:val="0"/>
          <w:sz w:val="36"/>
          <w:szCs w:val="40"/>
          <w:lang w:eastAsia="zh-CN"/>
        </w:rPr>
      </w:pPr>
      <w:bookmarkStart w:id="0" w:name="_Toc110458880"/>
      <w:r>
        <w:rPr>
          <w:rFonts w:hint="eastAsia" w:ascii="黑体" w:hAnsi="黑体" w:eastAsia="黑体" w:cs="黑体"/>
          <w:b w:val="0"/>
          <w:bCs w:val="0"/>
          <w:sz w:val="36"/>
          <w:szCs w:val="40"/>
        </w:rPr>
        <w:t>门急诊病案首页</w:t>
      </w:r>
      <w:r>
        <w:rPr>
          <w:rFonts w:hint="eastAsia" w:ascii="黑体" w:hAnsi="黑体" w:eastAsia="黑体" w:cs="黑体"/>
          <w:b w:val="0"/>
          <w:bCs w:val="0"/>
          <w:sz w:val="36"/>
          <w:szCs w:val="40"/>
          <w:lang w:eastAsia="zh-CN"/>
        </w:rPr>
        <w:t>数据报送</w:t>
      </w:r>
      <w:r>
        <w:rPr>
          <w:rFonts w:hint="eastAsia" w:ascii="黑体" w:hAnsi="黑体" w:eastAsia="黑体" w:cs="黑体"/>
          <w:b w:val="0"/>
          <w:bCs w:val="0"/>
          <w:sz w:val="36"/>
          <w:szCs w:val="40"/>
        </w:rPr>
        <w:t>功能</w:t>
      </w:r>
      <w:bookmarkEnd w:id="0"/>
      <w:r>
        <w:rPr>
          <w:rFonts w:hint="eastAsia" w:ascii="黑体" w:hAnsi="黑体" w:eastAsia="黑体" w:cs="黑体"/>
          <w:b w:val="0"/>
          <w:bCs w:val="0"/>
          <w:sz w:val="36"/>
          <w:szCs w:val="40"/>
          <w:lang w:eastAsia="zh-CN"/>
        </w:rPr>
        <w:t>需求及技术参数要求</w:t>
      </w:r>
    </w:p>
    <w:p>
      <w:pPr>
        <w:pStyle w:val="14"/>
        <w:outlineLvl w:val="1"/>
      </w:pPr>
      <w:bookmarkStart w:id="1" w:name="_Toc110458886"/>
      <w:r>
        <w:rPr>
          <w:rFonts w:hint="eastAsia"/>
        </w:rPr>
        <w:t>建设目标</w:t>
      </w:r>
      <w:bookmarkEnd w:id="1"/>
      <w:bookmarkStart w:id="34" w:name="_GoBack"/>
      <w:bookmarkEnd w:id="34"/>
    </w:p>
    <w:p>
      <w:pPr>
        <w:ind w:firstLine="480" w:firstLineChars="200"/>
        <w:rPr>
          <w:rFonts w:hint="eastAsia"/>
          <w:kern w:val="0"/>
        </w:rPr>
      </w:pPr>
      <w:r>
        <w:rPr>
          <w:rFonts w:hint="eastAsia"/>
          <w:kern w:val="0"/>
          <w:lang w:eastAsia="zh-CN"/>
        </w:rPr>
        <w:t>按照湖北省卫生健康委员会关于医疗机构报送门急诊病案首页工作的有关要求，</w:t>
      </w:r>
      <w:r>
        <w:rPr>
          <w:rFonts w:hint="eastAsia"/>
          <w:kern w:val="0"/>
        </w:rPr>
        <w:t>新增湖北省卫生健康综合统计平台门急诊病案数据采集报送功能，将门急诊病案首页数据纳入</w:t>
      </w:r>
      <w:r>
        <w:rPr>
          <w:rFonts w:hint="eastAsia"/>
          <w:kern w:val="0"/>
          <w:lang w:eastAsia="zh-CN"/>
        </w:rPr>
        <w:t>医疗机构</w:t>
      </w:r>
      <w:r>
        <w:rPr>
          <w:rFonts w:hint="eastAsia"/>
          <w:kern w:val="0"/>
        </w:rPr>
        <w:t>统计范围，</w:t>
      </w:r>
      <w:r>
        <w:rPr>
          <w:rFonts w:hint="eastAsia"/>
          <w:kern w:val="0"/>
          <w:lang w:eastAsia="zh-CN"/>
        </w:rPr>
        <w:t>实现全省相关医疗机构</w:t>
      </w:r>
      <w:r>
        <w:rPr>
          <w:rFonts w:hint="eastAsia"/>
          <w:kern w:val="0"/>
        </w:rPr>
        <w:t>门急诊病案首页</w:t>
      </w:r>
      <w:r>
        <w:rPr>
          <w:rFonts w:hint="eastAsia"/>
          <w:kern w:val="0"/>
          <w:lang w:eastAsia="zh-CN"/>
        </w:rPr>
        <w:t>数据按月度统一上报，通过统计平台实现数据统一采集、汇总、分析功能，并与国家卫健委统计直报平台、省内部分地市级卫健委相关信息系统实现数据实时互联互通。具体技术参数见招标公告附件。</w:t>
      </w:r>
    </w:p>
    <w:p>
      <w:pPr>
        <w:pStyle w:val="14"/>
        <w:outlineLvl w:val="1"/>
      </w:pPr>
      <w:bookmarkStart w:id="2" w:name="_Toc534392623"/>
      <w:bookmarkStart w:id="3" w:name="_Toc534123398"/>
      <w:bookmarkStart w:id="4" w:name="_Toc98088630"/>
      <w:r>
        <w:rPr>
          <w:rFonts w:hint="eastAsia"/>
        </w:rPr>
        <w:t>建设工期</w:t>
      </w:r>
      <w:bookmarkEnd w:id="2"/>
      <w:bookmarkEnd w:id="3"/>
    </w:p>
    <w:p>
      <w:pPr>
        <w:ind w:firstLine="480" w:firstLineChars="200"/>
        <w:rPr>
          <w:rFonts w:hint="eastAsia"/>
        </w:rPr>
      </w:pPr>
      <w:r>
        <w:rPr>
          <w:rFonts w:hint="eastAsia"/>
          <w:kern w:val="0"/>
        </w:rPr>
        <w:t>本项目建设工期为</w:t>
      </w:r>
      <w:r>
        <w:rPr>
          <w:kern w:val="0"/>
        </w:rPr>
        <w:t>3</w:t>
      </w:r>
      <w:r>
        <w:rPr>
          <w:rFonts w:hint="eastAsia"/>
          <w:kern w:val="0"/>
        </w:rPr>
        <w:t>个月。投标人可根据总体进度安排详细的进度表。</w:t>
      </w:r>
      <w:bookmarkEnd w:id="4"/>
    </w:p>
    <w:p>
      <w:pPr>
        <w:pStyle w:val="14"/>
        <w:outlineLvl w:val="1"/>
      </w:pPr>
      <w:bookmarkStart w:id="5" w:name="_Toc110458887"/>
      <w:r>
        <w:rPr>
          <w:rFonts w:hint="eastAsia"/>
        </w:rPr>
        <w:t>项目建设要求</w:t>
      </w:r>
    </w:p>
    <w:p>
      <w:pPr>
        <w:pStyle w:val="14"/>
        <w:numPr>
          <w:ilvl w:val="1"/>
          <w:numId w:val="1"/>
        </w:numPr>
        <w:outlineLvl w:val="2"/>
        <w:rPr>
          <w:sz w:val="32"/>
          <w:szCs w:val="36"/>
        </w:rPr>
      </w:pPr>
      <w:r>
        <w:rPr>
          <w:rFonts w:hint="eastAsia"/>
          <w:sz w:val="32"/>
          <w:szCs w:val="36"/>
        </w:rPr>
        <w:t>建设原则</w:t>
      </w:r>
    </w:p>
    <w:p>
      <w:pPr>
        <w:ind w:firstLine="482" w:firstLineChars="200"/>
        <w:rPr>
          <w:b/>
          <w:bCs/>
          <w:szCs w:val="32"/>
        </w:rPr>
      </w:pPr>
      <w:bookmarkStart w:id="6" w:name="_Toc98088633"/>
      <w:r>
        <w:rPr>
          <w:rFonts w:hint="eastAsia"/>
          <w:b/>
          <w:bCs/>
          <w:szCs w:val="32"/>
        </w:rPr>
        <w:t>标准化</w:t>
      </w:r>
      <w:bookmarkEnd w:id="6"/>
    </w:p>
    <w:p>
      <w:pPr>
        <w:ind w:firstLine="480" w:firstLineChars="200"/>
        <w:rPr>
          <w:szCs w:val="32"/>
        </w:rPr>
      </w:pPr>
      <w:r>
        <w:rPr>
          <w:rFonts w:hint="eastAsia"/>
          <w:szCs w:val="32"/>
        </w:rPr>
        <w:t>系统内部的各级数据接口、数据按照统一的标准规范体系和技术要求，保证系统在数据采集、数据交换、管理、业务拓展等功能上依据标准、统一、完善的规范体系。</w:t>
      </w:r>
    </w:p>
    <w:p>
      <w:pPr>
        <w:ind w:firstLine="482" w:firstLineChars="200"/>
        <w:rPr>
          <w:b/>
          <w:bCs/>
          <w:szCs w:val="32"/>
        </w:rPr>
      </w:pPr>
      <w:bookmarkStart w:id="7" w:name="_Toc98088634"/>
      <w:r>
        <w:rPr>
          <w:rFonts w:hint="eastAsia"/>
          <w:b/>
          <w:bCs/>
          <w:szCs w:val="32"/>
        </w:rPr>
        <w:t>灵活性</w:t>
      </w:r>
      <w:bookmarkEnd w:id="7"/>
    </w:p>
    <w:p>
      <w:pPr>
        <w:ind w:firstLine="480" w:firstLineChars="200"/>
        <w:rPr>
          <w:rFonts w:hint="eastAsia"/>
          <w:szCs w:val="32"/>
        </w:rPr>
      </w:pPr>
      <w:r>
        <w:rPr>
          <w:rFonts w:hint="eastAsia"/>
          <w:szCs w:val="32"/>
        </w:rPr>
        <w:t>系统设计时应充分考虑指标体系和报表设计的灵活要求，随用户需求的改变而及时调整，通过合理的模块划分及参数规则灵活配置，实现应用软件对业务变更或软件技术发展的灵活适应能力。</w:t>
      </w:r>
    </w:p>
    <w:p>
      <w:pPr>
        <w:ind w:firstLine="482" w:firstLineChars="200"/>
        <w:rPr>
          <w:b/>
          <w:bCs/>
          <w:szCs w:val="32"/>
        </w:rPr>
      </w:pPr>
      <w:r>
        <w:rPr>
          <w:rFonts w:hint="eastAsia"/>
          <w:b/>
          <w:bCs/>
          <w:szCs w:val="32"/>
        </w:rPr>
        <w:t>兼容</w:t>
      </w:r>
      <w:r>
        <w:rPr>
          <w:b/>
          <w:bCs/>
          <w:szCs w:val="32"/>
        </w:rPr>
        <w:t>性</w:t>
      </w:r>
    </w:p>
    <w:p>
      <w:pPr>
        <w:ind w:firstLine="480" w:firstLineChars="200"/>
        <w:rPr>
          <w:rFonts w:hint="default" w:eastAsia="宋体"/>
          <w:szCs w:val="32"/>
          <w:lang w:val="en-US" w:eastAsia="zh-CN"/>
        </w:rPr>
      </w:pPr>
      <w:r>
        <w:rPr>
          <w:rFonts w:hint="eastAsia"/>
        </w:rPr>
        <w:t>门急诊病案数据采集报送功能</w:t>
      </w:r>
      <w:r>
        <w:rPr>
          <w:rFonts w:hint="eastAsia"/>
          <w:lang w:eastAsia="zh-CN"/>
        </w:rPr>
        <w:t>应整合到现有的“</w:t>
      </w:r>
      <w:r>
        <w:rPr>
          <w:rFonts w:hint="eastAsia"/>
        </w:rPr>
        <w:t>湖北省卫生健康综合统计平台</w:t>
      </w:r>
      <w:r>
        <w:rPr>
          <w:rFonts w:hint="eastAsia"/>
          <w:lang w:eastAsia="zh-CN"/>
        </w:rPr>
        <w:t>”中，并与国家卫健委统计直报系统、省内部分地市级卫健委相关信息系统实现实时数据互通，确保国家、省、市级卫生行政部门和医疗机构数据“单次采集、一数一源、纵向实时互联互通”。</w:t>
      </w:r>
    </w:p>
    <w:p>
      <w:pPr>
        <w:ind w:firstLine="482" w:firstLineChars="200"/>
        <w:rPr>
          <w:b/>
          <w:bCs/>
          <w:szCs w:val="32"/>
        </w:rPr>
      </w:pPr>
      <w:bookmarkStart w:id="8" w:name="_Toc98088635"/>
      <w:r>
        <w:rPr>
          <w:rFonts w:hint="eastAsia"/>
          <w:b/>
          <w:bCs/>
          <w:szCs w:val="32"/>
        </w:rPr>
        <w:t>先进性</w:t>
      </w:r>
      <w:bookmarkEnd w:id="8"/>
    </w:p>
    <w:p>
      <w:pPr>
        <w:ind w:firstLine="480" w:firstLineChars="200"/>
        <w:rPr>
          <w:szCs w:val="32"/>
        </w:rPr>
      </w:pPr>
      <w:r>
        <w:rPr>
          <w:rFonts w:hint="eastAsia"/>
          <w:szCs w:val="32"/>
        </w:rPr>
        <w:t>系统在设计时应采用业界领先的技术和体系结构，确保系统的先进性。系统应采用成熟、先进的技术，保证建设方投资的有效性和延续性，遵循SOA和J2EE等技术路线，采用B/S结构，面向Internet/Intranet，完全基于Web中间件和大型数据库的N层体系架构。</w:t>
      </w:r>
    </w:p>
    <w:p>
      <w:pPr>
        <w:ind w:firstLine="482" w:firstLineChars="200"/>
        <w:rPr>
          <w:b/>
          <w:bCs/>
          <w:szCs w:val="32"/>
        </w:rPr>
      </w:pPr>
      <w:bookmarkStart w:id="9" w:name="_Toc98088632"/>
      <w:r>
        <w:rPr>
          <w:rFonts w:hint="eastAsia"/>
          <w:b/>
          <w:bCs/>
          <w:szCs w:val="32"/>
        </w:rPr>
        <w:t>可扩展性</w:t>
      </w:r>
      <w:bookmarkEnd w:id="9"/>
      <w:r>
        <w:rPr>
          <w:rFonts w:hint="eastAsia"/>
          <w:b/>
          <w:bCs/>
          <w:szCs w:val="32"/>
        </w:rPr>
        <w:t>强</w:t>
      </w:r>
    </w:p>
    <w:p>
      <w:pPr>
        <w:ind w:firstLine="480" w:firstLineChars="200"/>
        <w:rPr>
          <w:szCs w:val="32"/>
        </w:rPr>
      </w:pPr>
      <w:r>
        <w:rPr>
          <w:rFonts w:hint="eastAsia"/>
          <w:szCs w:val="32"/>
        </w:rPr>
        <w:t>系统采用模块化、组件化的设计思路，确保软件系统能够在数据、业务、服务三个级别上便捷扩展，在卫健委相关业务发生变化时，可以方便地进行系统升级与扩展。能够有效满足系统今后由于业务调整和管理提升而产生的各种新需求。</w:t>
      </w:r>
    </w:p>
    <w:p>
      <w:pPr>
        <w:ind w:firstLine="482" w:firstLineChars="200"/>
        <w:rPr>
          <w:b/>
          <w:bCs/>
          <w:szCs w:val="32"/>
        </w:rPr>
      </w:pPr>
      <w:bookmarkStart w:id="10" w:name="_Toc98088636"/>
      <w:r>
        <w:rPr>
          <w:rFonts w:hint="eastAsia"/>
          <w:b/>
          <w:bCs/>
          <w:szCs w:val="32"/>
        </w:rPr>
        <w:t>安全可控性</w:t>
      </w:r>
      <w:bookmarkEnd w:id="10"/>
    </w:p>
    <w:p>
      <w:pPr>
        <w:ind w:firstLine="480" w:firstLineChars="200"/>
      </w:pPr>
      <w:r>
        <w:rPr>
          <w:rFonts w:hint="eastAsia"/>
          <w:szCs w:val="32"/>
        </w:rPr>
        <w:t>系统安全性符合国家标准，无高危漏洞，如《信息安全技术信息系统安全等级保护基本要求》（GB/T 22239-2008）。保证系统信息安全、平稳运行。保证数据不被非法入侵者破坏和盗用，并保证数据的一致性。</w:t>
      </w:r>
    </w:p>
    <w:p>
      <w:pPr>
        <w:pStyle w:val="14"/>
        <w:numPr>
          <w:ilvl w:val="1"/>
          <w:numId w:val="1"/>
        </w:numPr>
        <w:outlineLvl w:val="2"/>
        <w:rPr>
          <w:sz w:val="32"/>
          <w:szCs w:val="36"/>
        </w:rPr>
      </w:pPr>
      <w:r>
        <w:rPr>
          <w:rFonts w:hint="eastAsia"/>
          <w:sz w:val="32"/>
          <w:szCs w:val="36"/>
        </w:rPr>
        <w:t>功能性要求</w:t>
      </w:r>
    </w:p>
    <w:bookmarkEnd w:id="5"/>
    <w:p>
      <w:pPr>
        <w:pStyle w:val="14"/>
        <w:numPr>
          <w:ilvl w:val="2"/>
          <w:numId w:val="1"/>
        </w:numPr>
        <w:outlineLvl w:val="3"/>
        <w:rPr>
          <w:sz w:val="28"/>
          <w:szCs w:val="32"/>
        </w:rPr>
      </w:pPr>
      <w:bookmarkStart w:id="11" w:name="_Toc108647970"/>
      <w:bookmarkStart w:id="12" w:name="_Toc110458888"/>
      <w:r>
        <w:rPr>
          <w:rFonts w:hint="eastAsia"/>
          <w:sz w:val="28"/>
          <w:szCs w:val="32"/>
        </w:rPr>
        <w:t>数据采集</w:t>
      </w:r>
      <w:bookmarkEnd w:id="11"/>
      <w:bookmarkEnd w:id="12"/>
      <w:r>
        <w:rPr>
          <w:rFonts w:hint="eastAsia"/>
          <w:sz w:val="28"/>
          <w:szCs w:val="32"/>
        </w:rPr>
        <w:t>要求</w:t>
      </w:r>
    </w:p>
    <w:p>
      <w:pPr>
        <w:pStyle w:val="15"/>
        <w:jc w:val="left"/>
        <w:rPr>
          <w:rFonts w:ascii="宋体" w:hAnsi="宋体" w:cs="宋体"/>
          <w:sz w:val="24"/>
          <w:szCs w:val="28"/>
        </w:rPr>
      </w:pPr>
      <w:r>
        <w:rPr>
          <w:rFonts w:hint="eastAsia" w:ascii="宋体" w:hAnsi="宋体" w:cs="宋体"/>
          <w:sz w:val="24"/>
          <w:szCs w:val="28"/>
        </w:rPr>
        <w:t>实现对门急诊病案首页信息数据的统一采集和管理；提供多样的采集手段，保证数据资源的交互共享。</w:t>
      </w:r>
    </w:p>
    <w:p>
      <w:pPr>
        <w:pStyle w:val="26"/>
        <w:ind w:firstLine="480"/>
        <w:jc w:val="left"/>
        <w:rPr>
          <w:rFonts w:ascii="宋体" w:hAnsi="宋体" w:eastAsia="宋体"/>
          <w:lang w:eastAsia="zh-CN"/>
        </w:rPr>
      </w:pPr>
      <w:r>
        <w:rPr>
          <w:rFonts w:hint="eastAsia" w:ascii="宋体" w:hAnsi="宋体" w:eastAsia="宋体"/>
          <w:lang w:eastAsia="zh-CN"/>
        </w:rPr>
        <w:t>数据采集方式应提供在线填报和数据导入两种模式，适应不同场景的数据报送。数据采集操作采用所见即所得的方式，用户能够快速掌握系统操作。</w:t>
      </w:r>
    </w:p>
    <w:p>
      <w:pPr>
        <w:pStyle w:val="14"/>
        <w:numPr>
          <w:ilvl w:val="3"/>
          <w:numId w:val="1"/>
        </w:numPr>
        <w:outlineLvl w:val="4"/>
        <w:rPr>
          <w:sz w:val="28"/>
          <w:szCs w:val="32"/>
        </w:rPr>
      </w:pPr>
      <w:r>
        <w:rPr>
          <w:rFonts w:hint="eastAsia"/>
          <w:sz w:val="28"/>
          <w:szCs w:val="32"/>
        </w:rPr>
        <w:t>在线填报</w:t>
      </w:r>
    </w:p>
    <w:p>
      <w:pPr>
        <w:pStyle w:val="15"/>
        <w:jc w:val="left"/>
        <w:rPr>
          <w:rFonts w:ascii="宋体" w:hAnsi="宋体" w:cs="宋体"/>
          <w:sz w:val="24"/>
          <w:szCs w:val="28"/>
        </w:rPr>
      </w:pPr>
      <w:r>
        <w:rPr>
          <w:rFonts w:hint="eastAsia" w:ascii="宋体" w:hAnsi="宋体" w:cs="宋体"/>
          <w:sz w:val="24"/>
          <w:szCs w:val="28"/>
        </w:rPr>
        <w:t>提供在线录入和上报功能，用户通过浏览器登录系统后，即可完成门急诊病案报表数据的填报，审核、汇总和上报等操作。支持直报和代报。</w:t>
      </w:r>
    </w:p>
    <w:p>
      <w:pPr>
        <w:pStyle w:val="14"/>
        <w:numPr>
          <w:ilvl w:val="3"/>
          <w:numId w:val="1"/>
        </w:numPr>
        <w:outlineLvl w:val="4"/>
        <w:rPr>
          <w:sz w:val="28"/>
          <w:szCs w:val="32"/>
        </w:rPr>
      </w:pPr>
      <w:r>
        <w:rPr>
          <w:rFonts w:hint="eastAsia"/>
          <w:sz w:val="28"/>
          <w:szCs w:val="32"/>
        </w:rPr>
        <w:t>数据导入</w:t>
      </w:r>
    </w:p>
    <w:p>
      <w:pPr>
        <w:pStyle w:val="15"/>
        <w:jc w:val="left"/>
        <w:rPr>
          <w:rFonts w:ascii="宋体" w:hAnsi="宋体" w:cs="宋体"/>
          <w:sz w:val="24"/>
          <w:szCs w:val="28"/>
        </w:rPr>
      </w:pPr>
      <w:r>
        <w:rPr>
          <w:rFonts w:hint="eastAsia" w:ascii="宋体" w:hAnsi="宋体" w:cs="宋体"/>
          <w:sz w:val="24"/>
          <w:szCs w:val="28"/>
        </w:rPr>
        <w:t>除在线填报外，支持其他方式的数据导入，如数据库对接、文件导入或基于其他系统的批量离线数据导入。</w:t>
      </w:r>
    </w:p>
    <w:p>
      <w:pPr>
        <w:pStyle w:val="15"/>
        <w:jc w:val="left"/>
        <w:rPr>
          <w:rFonts w:hint="eastAsia" w:ascii="宋体" w:hAnsi="宋体" w:cs="宋体"/>
          <w:sz w:val="24"/>
          <w:szCs w:val="28"/>
        </w:rPr>
      </w:pPr>
      <w:r>
        <w:rPr>
          <w:rFonts w:hint="eastAsia" w:ascii="宋体" w:hAnsi="宋体" w:cs="宋体"/>
          <w:sz w:val="24"/>
          <w:szCs w:val="28"/>
        </w:rPr>
        <w:t>数据导入将按照数据接口标准（数据结构和统计分类标准)要求做严格审核、导入情况有详细明了的用户提示，如数据包包含总记录条数，审核进度，已导入记录条数，不规范数据的数据错误原因等。数据完全符合接口标准才允许正式导入。系统还支持跨表单或跨任务取数，满足各业务之间数据共享的需要。</w:t>
      </w:r>
    </w:p>
    <w:p>
      <w:pPr>
        <w:pStyle w:val="14"/>
        <w:numPr>
          <w:ilvl w:val="2"/>
          <w:numId w:val="1"/>
        </w:numPr>
        <w:outlineLvl w:val="3"/>
        <w:rPr>
          <w:sz w:val="28"/>
          <w:szCs w:val="32"/>
        </w:rPr>
      </w:pPr>
      <w:r>
        <w:rPr>
          <w:rFonts w:hint="eastAsia"/>
          <w:sz w:val="28"/>
          <w:szCs w:val="32"/>
        </w:rPr>
        <w:t>数据汇总要求</w:t>
      </w:r>
    </w:p>
    <w:p>
      <w:pPr>
        <w:pStyle w:val="15"/>
        <w:rPr>
          <w:rFonts w:ascii="宋体" w:hAnsi="宋体" w:cs="宋体"/>
          <w:sz w:val="24"/>
          <w:szCs w:val="28"/>
        </w:rPr>
      </w:pPr>
      <w:r>
        <w:rPr>
          <w:rFonts w:hint="eastAsia" w:ascii="宋体" w:hAnsi="宋体" w:cs="宋体"/>
          <w:sz w:val="24"/>
          <w:szCs w:val="28"/>
        </w:rPr>
        <w:t>对于上报上来的数据，支持一键汇总的功能，支持层层汇总、直接下级汇总、选择单位汇总、按条件汇总、按代码组汇总、按关键字汇总、自定义汇总等。</w:t>
      </w:r>
    </w:p>
    <w:p>
      <w:pPr>
        <w:pStyle w:val="14"/>
        <w:numPr>
          <w:ilvl w:val="2"/>
          <w:numId w:val="1"/>
        </w:numPr>
        <w:outlineLvl w:val="3"/>
        <w:rPr>
          <w:sz w:val="28"/>
          <w:szCs w:val="32"/>
        </w:rPr>
      </w:pPr>
      <w:r>
        <w:rPr>
          <w:rFonts w:hint="eastAsia"/>
          <w:sz w:val="28"/>
          <w:szCs w:val="32"/>
        </w:rPr>
        <w:t>数据质控要求</w:t>
      </w:r>
    </w:p>
    <w:p>
      <w:pPr>
        <w:pStyle w:val="15"/>
        <w:rPr>
          <w:rFonts w:ascii="宋体" w:hAnsi="宋体" w:cs="宋体"/>
          <w:sz w:val="24"/>
          <w:szCs w:val="28"/>
        </w:rPr>
      </w:pPr>
      <w:r>
        <w:rPr>
          <w:rFonts w:hint="eastAsia" w:ascii="宋体" w:hAnsi="宋体" w:cs="宋体"/>
          <w:sz w:val="24"/>
          <w:szCs w:val="28"/>
        </w:rPr>
        <w:t>录入数据时和上报数据前，自动对报表数据进行质控审核，并在未通过审核时，通过醒目的背景颜色标识与审核相关的单元格，方便用户查错；支持单表审核、全套审核、成批审核等多种层次的审核操作；同时支持将审核结果以文本形式导出保存起来。</w:t>
      </w:r>
    </w:p>
    <w:p>
      <w:pPr>
        <w:pStyle w:val="14"/>
        <w:numPr>
          <w:ilvl w:val="2"/>
          <w:numId w:val="1"/>
        </w:numPr>
        <w:outlineLvl w:val="3"/>
        <w:rPr>
          <w:sz w:val="28"/>
          <w:szCs w:val="32"/>
        </w:rPr>
      </w:pPr>
      <w:r>
        <w:rPr>
          <w:rFonts w:hint="eastAsia"/>
          <w:sz w:val="28"/>
          <w:szCs w:val="32"/>
        </w:rPr>
        <w:t>数据审核要求</w:t>
      </w:r>
    </w:p>
    <w:p>
      <w:pPr>
        <w:pStyle w:val="15"/>
        <w:rPr>
          <w:rFonts w:ascii="宋体" w:hAnsi="宋体" w:cs="宋体"/>
          <w:sz w:val="24"/>
          <w:szCs w:val="28"/>
        </w:rPr>
      </w:pPr>
      <w:r>
        <w:rPr>
          <w:rFonts w:hint="eastAsia" w:ascii="宋体" w:hAnsi="宋体" w:cs="宋体"/>
          <w:sz w:val="24"/>
          <w:szCs w:val="28"/>
        </w:rPr>
        <w:t>支持用户自定义审核范围和审核强度，包括单表审核、多表审核、单户审核、多户审核、表内表间审核、多级差异审核、跨任务审核、跨数据期审核、强制性审核、非强制性审核等，同时，对于审核条件不满足但情况特殊的单位，支持特例审核；按数据问题的严重程度，将审核关系分级；按审核类别分为强制性审核和合理性审核。</w:t>
      </w:r>
    </w:p>
    <w:p>
      <w:pPr>
        <w:pStyle w:val="14"/>
        <w:numPr>
          <w:ilvl w:val="2"/>
          <w:numId w:val="1"/>
        </w:numPr>
        <w:outlineLvl w:val="3"/>
        <w:rPr>
          <w:sz w:val="28"/>
          <w:szCs w:val="32"/>
        </w:rPr>
      </w:pPr>
      <w:r>
        <w:rPr>
          <w:rFonts w:hint="eastAsia"/>
          <w:sz w:val="28"/>
          <w:szCs w:val="32"/>
        </w:rPr>
        <w:t>报送频率要求</w:t>
      </w:r>
    </w:p>
    <w:p>
      <w:pPr>
        <w:pStyle w:val="15"/>
        <w:rPr>
          <w:rFonts w:ascii="宋体" w:hAnsi="宋体" w:cs="宋体"/>
          <w:sz w:val="24"/>
          <w:szCs w:val="28"/>
        </w:rPr>
      </w:pPr>
      <w:r>
        <w:rPr>
          <w:rFonts w:hint="eastAsia" w:ascii="宋体" w:hAnsi="宋体" w:cs="宋体"/>
          <w:sz w:val="24"/>
          <w:szCs w:val="28"/>
        </w:rPr>
        <w:t>支持多种报送频率，包括年报、月报、周报、日报、季报、旬报、半年报、半月报等，也支持用户自定义报送频率。</w:t>
      </w:r>
    </w:p>
    <w:p>
      <w:pPr>
        <w:pStyle w:val="14"/>
        <w:numPr>
          <w:ilvl w:val="2"/>
          <w:numId w:val="1"/>
        </w:numPr>
        <w:outlineLvl w:val="3"/>
        <w:rPr>
          <w:sz w:val="28"/>
          <w:szCs w:val="32"/>
        </w:rPr>
      </w:pPr>
      <w:r>
        <w:rPr>
          <w:rFonts w:hint="eastAsia"/>
          <w:sz w:val="28"/>
          <w:szCs w:val="32"/>
        </w:rPr>
        <w:t>数据锁定要求</w:t>
      </w:r>
    </w:p>
    <w:p>
      <w:pPr>
        <w:pStyle w:val="15"/>
        <w:rPr>
          <w:rFonts w:ascii="宋体" w:hAnsi="宋体" w:cs="宋体"/>
          <w:sz w:val="24"/>
          <w:szCs w:val="28"/>
        </w:rPr>
      </w:pPr>
      <w:r>
        <w:rPr>
          <w:rFonts w:hint="eastAsia" w:ascii="宋体" w:hAnsi="宋体" w:cs="宋体"/>
          <w:sz w:val="24"/>
          <w:szCs w:val="28"/>
        </w:rPr>
        <w:t>提供数据锁定机制，防止报表数据被意外覆盖、修改。具有相应权限的用户可以随时对报表进行单独或批量地锁定与解锁操作。</w:t>
      </w:r>
    </w:p>
    <w:p>
      <w:pPr>
        <w:pStyle w:val="14"/>
        <w:numPr>
          <w:ilvl w:val="2"/>
          <w:numId w:val="1"/>
        </w:numPr>
        <w:outlineLvl w:val="3"/>
        <w:rPr>
          <w:sz w:val="28"/>
          <w:szCs w:val="32"/>
        </w:rPr>
      </w:pPr>
      <w:r>
        <w:rPr>
          <w:rFonts w:hint="eastAsia"/>
          <w:sz w:val="28"/>
          <w:szCs w:val="32"/>
        </w:rPr>
        <w:t>数据审批要求</w:t>
      </w:r>
    </w:p>
    <w:p>
      <w:pPr>
        <w:pStyle w:val="15"/>
        <w:jc w:val="left"/>
        <w:rPr>
          <w:rFonts w:ascii="宋体" w:hAnsi="宋体" w:cs="宋体"/>
          <w:sz w:val="24"/>
          <w:szCs w:val="28"/>
        </w:rPr>
      </w:pPr>
      <w:r>
        <w:rPr>
          <w:rFonts w:hint="eastAsia" w:ascii="宋体" w:hAnsi="宋体" w:cs="宋体"/>
          <w:sz w:val="24"/>
          <w:szCs w:val="28"/>
        </w:rPr>
        <w:t>对审批户提供数据审批评估、调整功能，通过审批人对填报数据的判断，来进一步确定数据是否准确合理，对于问题数据可以提供退回重审或退回重报功能。</w:t>
      </w:r>
    </w:p>
    <w:p>
      <w:pPr>
        <w:pStyle w:val="14"/>
        <w:numPr>
          <w:ilvl w:val="2"/>
          <w:numId w:val="1"/>
        </w:numPr>
        <w:outlineLvl w:val="3"/>
        <w:rPr>
          <w:sz w:val="28"/>
          <w:szCs w:val="32"/>
        </w:rPr>
      </w:pPr>
      <w:r>
        <w:rPr>
          <w:rFonts w:hint="eastAsia"/>
          <w:sz w:val="28"/>
          <w:szCs w:val="32"/>
        </w:rPr>
        <w:t>特例数据上报</w:t>
      </w:r>
    </w:p>
    <w:p>
      <w:pPr>
        <w:rPr>
          <w:rFonts w:cs="宋体"/>
        </w:rPr>
      </w:pPr>
      <w:r>
        <w:rPr>
          <w:rFonts w:hint="eastAsia" w:cs="宋体"/>
        </w:rPr>
        <w:t>考虑到基层实际，提供特例数据上报功能。允许主管部门在核实数据准确性后，注明相关情况，上报未通过逻辑性审核的数据，满足特殊情况下的数据报送需要。</w:t>
      </w:r>
    </w:p>
    <w:p>
      <w:pPr>
        <w:pStyle w:val="14"/>
        <w:numPr>
          <w:ilvl w:val="2"/>
          <w:numId w:val="1"/>
        </w:numPr>
        <w:outlineLvl w:val="3"/>
        <w:rPr>
          <w:sz w:val="28"/>
          <w:szCs w:val="32"/>
        </w:rPr>
      </w:pPr>
      <w:bookmarkStart w:id="13" w:name="_Toc110458889"/>
      <w:bookmarkStart w:id="14" w:name="_Toc108647972"/>
      <w:r>
        <w:rPr>
          <w:rFonts w:hint="eastAsia"/>
          <w:sz w:val="28"/>
          <w:szCs w:val="32"/>
        </w:rPr>
        <w:t>数据查询</w:t>
      </w:r>
      <w:bookmarkEnd w:id="13"/>
      <w:bookmarkEnd w:id="14"/>
      <w:r>
        <w:rPr>
          <w:rFonts w:hint="eastAsia"/>
          <w:sz w:val="28"/>
          <w:szCs w:val="32"/>
        </w:rPr>
        <w:t>要求</w:t>
      </w:r>
    </w:p>
    <w:p>
      <w:pPr>
        <w:pStyle w:val="15"/>
        <w:jc w:val="left"/>
        <w:rPr>
          <w:rFonts w:ascii="宋体" w:hAnsi="宋体" w:cs="宋体"/>
          <w:sz w:val="24"/>
          <w:szCs w:val="28"/>
        </w:rPr>
      </w:pPr>
      <w:r>
        <w:rPr>
          <w:rFonts w:hint="eastAsia" w:ascii="宋体" w:hAnsi="宋体" w:cs="宋体"/>
          <w:sz w:val="24"/>
          <w:szCs w:val="28"/>
        </w:rPr>
        <w:t>提供县级及以上数据管理员实时查询“数据报送状态”的功能，可“按地区”查询和“按填报机构”查询，按地区统计的状态查询需要体现地区上报率，按机构罗列的状态查询需要列出辖区内各机构的具体填报状态。</w:t>
      </w:r>
    </w:p>
    <w:p>
      <w:pPr>
        <w:pStyle w:val="15"/>
        <w:jc w:val="left"/>
        <w:rPr>
          <w:rFonts w:ascii="宋体" w:hAnsi="宋体" w:cs="宋体"/>
          <w:sz w:val="24"/>
          <w:szCs w:val="28"/>
        </w:rPr>
      </w:pPr>
      <w:r>
        <w:rPr>
          <w:rFonts w:hint="eastAsia" w:ascii="宋体" w:hAnsi="宋体" w:cs="宋体"/>
          <w:sz w:val="24"/>
          <w:szCs w:val="28"/>
        </w:rPr>
        <w:t>另外，能够展示、导出已上报机构数据一览表，字段内容如为代码，展示和导出页面需要将代码转成文字，比如，“民族”字段，在做一览表展示和导出时，可直接显示为“汉族”、“满族”之类。导出支持EXCEL、PDF、CSV多格式导出。</w:t>
      </w:r>
    </w:p>
    <w:p>
      <w:pPr>
        <w:pStyle w:val="14"/>
        <w:numPr>
          <w:ilvl w:val="2"/>
          <w:numId w:val="1"/>
        </w:numPr>
        <w:outlineLvl w:val="3"/>
        <w:rPr>
          <w:sz w:val="28"/>
          <w:szCs w:val="32"/>
        </w:rPr>
      </w:pPr>
      <w:bookmarkStart w:id="15" w:name="_Toc108647973"/>
      <w:bookmarkStart w:id="16" w:name="_Toc7536680"/>
      <w:bookmarkStart w:id="17" w:name="_Toc517279461"/>
      <w:bookmarkStart w:id="18" w:name="_Toc110458890"/>
      <w:bookmarkStart w:id="19" w:name="_Toc466796775"/>
      <w:r>
        <w:rPr>
          <w:rFonts w:hint="eastAsia"/>
          <w:sz w:val="28"/>
          <w:szCs w:val="32"/>
        </w:rPr>
        <w:t>数据分析</w:t>
      </w:r>
      <w:bookmarkEnd w:id="15"/>
      <w:bookmarkEnd w:id="16"/>
      <w:bookmarkEnd w:id="17"/>
      <w:bookmarkEnd w:id="18"/>
      <w:bookmarkEnd w:id="19"/>
      <w:r>
        <w:rPr>
          <w:rFonts w:hint="eastAsia"/>
          <w:sz w:val="28"/>
          <w:szCs w:val="32"/>
        </w:rPr>
        <w:t>要求</w:t>
      </w:r>
    </w:p>
    <w:p>
      <w:pPr>
        <w:pStyle w:val="14"/>
        <w:numPr>
          <w:ilvl w:val="3"/>
          <w:numId w:val="1"/>
        </w:numPr>
        <w:outlineLvl w:val="4"/>
        <w:rPr>
          <w:sz w:val="28"/>
          <w:szCs w:val="32"/>
        </w:rPr>
      </w:pPr>
      <w:bookmarkStart w:id="20" w:name="_Toc259014779"/>
      <w:bookmarkStart w:id="21" w:name="_Toc437510260"/>
      <w:bookmarkStart w:id="22" w:name="_Toc360090437"/>
      <w:r>
        <w:rPr>
          <w:rFonts w:hint="eastAsia"/>
          <w:sz w:val="28"/>
          <w:szCs w:val="32"/>
        </w:rPr>
        <w:t>多维分析</w:t>
      </w:r>
    </w:p>
    <w:p>
      <w:pPr>
        <w:pStyle w:val="15"/>
        <w:rPr>
          <w:sz w:val="24"/>
        </w:rPr>
      </w:pPr>
      <w:r>
        <w:rPr>
          <w:sz w:val="24"/>
        </w:rPr>
        <w:t>对</w:t>
      </w:r>
      <w:r>
        <w:rPr>
          <w:rFonts w:hint="eastAsia"/>
          <w:sz w:val="24"/>
        </w:rPr>
        <w:t>门急诊病案</w:t>
      </w:r>
      <w:r>
        <w:rPr>
          <w:sz w:val="24"/>
        </w:rPr>
        <w:t>数据进行多维度分析。在整合处理有序数据资源和数据仓库的基础上，对各种</w:t>
      </w:r>
      <w:r>
        <w:rPr>
          <w:rFonts w:hint="eastAsia"/>
          <w:sz w:val="24"/>
        </w:rPr>
        <w:t>病案</w:t>
      </w:r>
      <w:r>
        <w:rPr>
          <w:sz w:val="24"/>
        </w:rPr>
        <w:t>数据资源进行挖掘分析，分析产出由不同时间段（年度、半年、季度、月度）、不同区域（省、市、县、机构）、不同机构属性（卫生机构类别、经济类型、主办单位、城乡、市县等）和不同分析指标项组合形成的多维度综合分析内容，充分、有效的利用采集的信息资源，发挥数据资源的最大价值。</w:t>
      </w:r>
    </w:p>
    <w:bookmarkEnd w:id="20"/>
    <w:bookmarkEnd w:id="21"/>
    <w:bookmarkEnd w:id="22"/>
    <w:p>
      <w:pPr>
        <w:pStyle w:val="14"/>
        <w:numPr>
          <w:ilvl w:val="3"/>
          <w:numId w:val="1"/>
        </w:numPr>
        <w:outlineLvl w:val="4"/>
        <w:rPr>
          <w:sz w:val="28"/>
          <w:szCs w:val="32"/>
        </w:rPr>
      </w:pPr>
      <w:r>
        <w:rPr>
          <w:rFonts w:hint="eastAsia"/>
          <w:sz w:val="28"/>
          <w:szCs w:val="32"/>
        </w:rPr>
        <w:t>决策支持</w:t>
      </w:r>
    </w:p>
    <w:p>
      <w:pPr>
        <w:pStyle w:val="15"/>
        <w:rPr>
          <w:sz w:val="24"/>
        </w:rPr>
      </w:pPr>
      <w:r>
        <w:rPr>
          <w:rFonts w:hint="eastAsia"/>
          <w:sz w:val="24"/>
        </w:rPr>
        <w:t>以决策模型和方法论为指导提供决策支持信息服务。根据业务需求展示主要监测指标数据，并提供预警预测功能。系统应提供趋势分析、逐步回归分析、弹性分析、主成分分析等方法，揭示卫生健康数据背后的现象，为科学决策提供信息支撑服务。</w:t>
      </w:r>
    </w:p>
    <w:p>
      <w:pPr>
        <w:pStyle w:val="14"/>
        <w:numPr>
          <w:ilvl w:val="1"/>
          <w:numId w:val="1"/>
        </w:numPr>
        <w:outlineLvl w:val="2"/>
        <w:rPr>
          <w:rFonts w:hint="eastAsia"/>
          <w:sz w:val="32"/>
          <w:szCs w:val="36"/>
        </w:rPr>
      </w:pPr>
      <w:r>
        <w:rPr>
          <w:rFonts w:hint="eastAsia"/>
          <w:sz w:val="32"/>
          <w:szCs w:val="36"/>
        </w:rPr>
        <w:t>非功能性要求</w:t>
      </w:r>
    </w:p>
    <w:p>
      <w:pPr>
        <w:pStyle w:val="14"/>
        <w:numPr>
          <w:ilvl w:val="2"/>
          <w:numId w:val="1"/>
        </w:numPr>
        <w:outlineLvl w:val="3"/>
        <w:rPr>
          <w:sz w:val="28"/>
          <w:szCs w:val="32"/>
        </w:rPr>
      </w:pPr>
      <w:r>
        <w:rPr>
          <w:rFonts w:hint="eastAsia"/>
          <w:sz w:val="28"/>
          <w:szCs w:val="32"/>
        </w:rPr>
        <w:t>项目总体要求</w:t>
      </w:r>
    </w:p>
    <w:p>
      <w:r>
        <w:rPr>
          <w:rFonts w:hint="eastAsia"/>
        </w:rPr>
        <w:t>门急诊病案数据采集范围为：医院、妇幼、基层医疗机构等，用户数约2</w:t>
      </w:r>
      <w:r>
        <w:t>000</w:t>
      </w:r>
      <w:r>
        <w:rPr>
          <w:rFonts w:hint="eastAsia"/>
        </w:rPr>
        <w:t>多家，采集频率为：1次/月，数据量约3亿条/年，</w:t>
      </w:r>
      <w:r>
        <w:t>3-5</w:t>
      </w:r>
      <w:r>
        <w:rPr>
          <w:rFonts w:hint="eastAsia"/>
        </w:rPr>
        <w:t>年大约将近</w:t>
      </w:r>
      <w:r>
        <w:t>10</w:t>
      </w:r>
      <w:r>
        <w:rPr>
          <w:rFonts w:hint="eastAsia"/>
        </w:rPr>
        <w:t>亿条数据。</w:t>
      </w:r>
    </w:p>
    <w:p>
      <w:r>
        <w:rPr>
          <w:rFonts w:hint="eastAsia"/>
        </w:rPr>
        <w:t>依据目前湖北省卫生健康综合统计信息平台部署配置结合门急诊病案增加数据，建设门急诊病案采集报送功能，要求：</w:t>
      </w:r>
    </w:p>
    <w:p>
      <w:r>
        <w:t>1.</w:t>
      </w:r>
      <w:r>
        <w:rPr>
          <w:rFonts w:hint="eastAsia"/>
        </w:rPr>
        <w:t>不能对原有系统应用和数据及分析产生影响。</w:t>
      </w:r>
    </w:p>
    <w:p>
      <w:r>
        <w:t>2.</w:t>
      </w:r>
      <w:r>
        <w:rPr>
          <w:rFonts w:hint="eastAsia"/>
        </w:rPr>
        <w:t>要求需在采集报送的同时保证数据质量，包括数据的完整性、准确性和合理性。</w:t>
      </w:r>
    </w:p>
    <w:p>
      <w:r>
        <w:rPr>
          <w:rFonts w:hint="eastAsia"/>
        </w:rPr>
        <w:t>3</w:t>
      </w:r>
      <w:r>
        <w:t>.</w:t>
      </w:r>
      <w:r>
        <w:rPr>
          <w:rFonts w:hint="eastAsia"/>
        </w:rPr>
        <w:t>实现从数据采集、质控、上报、查询、分析展示全流程的闭环管理。</w:t>
      </w:r>
    </w:p>
    <w:p>
      <w:pPr>
        <w:pStyle w:val="28"/>
        <w:ind w:firstLine="424" w:firstLineChars="177"/>
        <w:rPr>
          <w:rFonts w:ascii="宋体" w:hAnsi="宋体"/>
          <w:szCs w:val="24"/>
        </w:rPr>
      </w:pPr>
      <w:r>
        <w:rPr>
          <w:rFonts w:ascii="宋体" w:hAnsi="宋体"/>
          <w:szCs w:val="24"/>
        </w:rPr>
        <w:t>4</w:t>
      </w:r>
      <w:r>
        <w:rPr>
          <w:rFonts w:hint="eastAsia" w:ascii="宋体" w:hAnsi="宋体"/>
          <w:szCs w:val="24"/>
        </w:rPr>
        <w:t>.项目应该尽量利用现有设备，不增加设备投资。</w:t>
      </w:r>
    </w:p>
    <w:p>
      <w:pPr>
        <w:pStyle w:val="14"/>
        <w:numPr>
          <w:ilvl w:val="2"/>
          <w:numId w:val="1"/>
        </w:numPr>
        <w:outlineLvl w:val="3"/>
        <w:rPr>
          <w:sz w:val="28"/>
          <w:szCs w:val="32"/>
        </w:rPr>
      </w:pPr>
      <w:bookmarkStart w:id="23" w:name="_Toc98088669"/>
      <w:r>
        <w:rPr>
          <w:rFonts w:hint="eastAsia"/>
          <w:sz w:val="28"/>
          <w:szCs w:val="32"/>
        </w:rPr>
        <w:t>开发</w:t>
      </w:r>
      <w:r>
        <w:rPr>
          <w:sz w:val="28"/>
          <w:szCs w:val="32"/>
        </w:rPr>
        <w:t>技术要求</w:t>
      </w:r>
      <w:bookmarkEnd w:id="23"/>
    </w:p>
    <w:p>
      <w:pPr>
        <w:pStyle w:val="26"/>
        <w:ind w:firstLine="480"/>
        <w:rPr>
          <w:rFonts w:ascii="宋体" w:hAnsi="宋体" w:eastAsia="宋体"/>
          <w:lang w:eastAsia="zh-CN"/>
        </w:rPr>
      </w:pPr>
      <w:r>
        <w:rPr>
          <w:rFonts w:hint="eastAsia" w:ascii="宋体" w:hAnsi="宋体" w:eastAsia="宋体"/>
          <w:lang w:eastAsia="zh-CN"/>
        </w:rPr>
        <w:t>为了系统的稳定性和开放性，以及上线后业务用户能够广泛使用并且易于维护和扩展，系统应用采用成熟的软件开发技术和先进的开发理论，采用JAVA语言、J2EE架构和B/S模式进行系统开发，这样用户定义和浏览报表均可通过浏览器进行。</w:t>
      </w:r>
    </w:p>
    <w:p>
      <w:pPr>
        <w:pStyle w:val="14"/>
        <w:numPr>
          <w:ilvl w:val="2"/>
          <w:numId w:val="1"/>
        </w:numPr>
        <w:outlineLvl w:val="3"/>
        <w:rPr>
          <w:sz w:val="28"/>
          <w:szCs w:val="32"/>
        </w:rPr>
      </w:pPr>
      <w:bookmarkStart w:id="24" w:name="_Toc98088671"/>
      <w:r>
        <w:rPr>
          <w:rFonts w:hint="eastAsia"/>
          <w:sz w:val="28"/>
          <w:szCs w:val="32"/>
        </w:rPr>
        <w:t>系统性能要求</w:t>
      </w:r>
      <w:bookmarkEnd w:id="24"/>
    </w:p>
    <w:p>
      <w:pPr>
        <w:pStyle w:val="28"/>
        <w:ind w:firstLine="600"/>
        <w:rPr>
          <w:rFonts w:ascii="宋体" w:hAnsi="宋体"/>
          <w:szCs w:val="24"/>
        </w:rPr>
      </w:pPr>
      <w:r>
        <w:rPr>
          <w:rFonts w:hint="eastAsia" w:ascii="宋体" w:hAnsi="宋体"/>
          <w:szCs w:val="24"/>
        </w:rPr>
        <w:t>建成后的系统功能，需要满足如下性能指标：</w:t>
      </w:r>
    </w:p>
    <w:p>
      <w:pPr>
        <w:pStyle w:val="28"/>
        <w:ind w:firstLine="600"/>
        <w:rPr>
          <w:rFonts w:ascii="宋体" w:hAnsi="宋体"/>
          <w:szCs w:val="24"/>
        </w:rPr>
      </w:pPr>
      <w:r>
        <w:rPr>
          <w:rFonts w:hint="eastAsia" w:ascii="宋体" w:hAnsi="宋体"/>
          <w:szCs w:val="24"/>
        </w:rPr>
        <w:t>1、页面响应时间要求：</w:t>
      </w:r>
    </w:p>
    <w:p>
      <w:pPr>
        <w:pStyle w:val="28"/>
        <w:ind w:firstLine="600"/>
        <w:rPr>
          <w:rFonts w:ascii="宋体" w:hAnsi="宋体"/>
          <w:szCs w:val="24"/>
        </w:rPr>
      </w:pPr>
      <w:r>
        <w:rPr>
          <w:rFonts w:hint="eastAsia" w:ascii="宋体" w:hAnsi="宋体"/>
          <w:szCs w:val="24"/>
        </w:rPr>
        <w:t>系统登录（浏览器端），打开、刷新页面的响应时间在3秒内。</w:t>
      </w:r>
    </w:p>
    <w:p>
      <w:pPr>
        <w:pStyle w:val="28"/>
        <w:ind w:firstLine="600"/>
        <w:rPr>
          <w:rFonts w:ascii="宋体" w:hAnsi="宋体"/>
          <w:szCs w:val="24"/>
        </w:rPr>
      </w:pPr>
      <w:r>
        <w:rPr>
          <w:rFonts w:hint="eastAsia" w:ascii="宋体" w:hAnsi="宋体"/>
          <w:szCs w:val="24"/>
        </w:rPr>
        <w:t>2、报表响应时间要求：</w:t>
      </w:r>
    </w:p>
    <w:p>
      <w:pPr>
        <w:pStyle w:val="28"/>
        <w:ind w:firstLine="600"/>
        <w:rPr>
          <w:rFonts w:ascii="宋体" w:hAnsi="宋体"/>
          <w:szCs w:val="24"/>
        </w:rPr>
      </w:pPr>
      <w:r>
        <w:rPr>
          <w:rFonts w:hint="eastAsia" w:ascii="宋体" w:hAnsi="宋体"/>
          <w:szCs w:val="24"/>
        </w:rPr>
        <w:t>复杂报表，查询时间不大于15秒；</w:t>
      </w:r>
    </w:p>
    <w:p>
      <w:pPr>
        <w:pStyle w:val="28"/>
        <w:ind w:firstLine="600"/>
        <w:rPr>
          <w:rFonts w:ascii="宋体" w:hAnsi="宋体"/>
          <w:szCs w:val="24"/>
        </w:rPr>
      </w:pPr>
      <w:r>
        <w:rPr>
          <w:rFonts w:hint="eastAsia" w:ascii="宋体" w:hAnsi="宋体"/>
          <w:szCs w:val="24"/>
        </w:rPr>
        <w:t>一般报表，查询时间不大于6秒。</w:t>
      </w:r>
    </w:p>
    <w:p>
      <w:pPr>
        <w:pStyle w:val="14"/>
        <w:outlineLvl w:val="1"/>
        <w:rPr>
          <w:rFonts w:hint="eastAsia"/>
        </w:rPr>
      </w:pPr>
      <w:r>
        <w:rPr>
          <w:rFonts w:hint="eastAsia"/>
        </w:rPr>
        <w:t>项目实施要求</w:t>
      </w:r>
    </w:p>
    <w:p>
      <w:pPr>
        <w:pStyle w:val="14"/>
        <w:numPr>
          <w:ilvl w:val="1"/>
          <w:numId w:val="1"/>
        </w:numPr>
        <w:outlineLvl w:val="2"/>
        <w:rPr>
          <w:sz w:val="32"/>
          <w:szCs w:val="36"/>
        </w:rPr>
      </w:pPr>
      <w:bookmarkStart w:id="25" w:name="_Toc534209607"/>
      <w:bookmarkStart w:id="26" w:name="_Toc534392632"/>
      <w:r>
        <w:rPr>
          <w:rFonts w:hint="eastAsia"/>
          <w:sz w:val="32"/>
          <w:szCs w:val="36"/>
        </w:rPr>
        <w:t>项目质量管理</w:t>
      </w:r>
      <w:bookmarkEnd w:id="25"/>
      <w:bookmarkEnd w:id="26"/>
    </w:p>
    <w:p>
      <w:pPr>
        <w:pStyle w:val="28"/>
        <w:ind w:firstLine="600"/>
        <w:rPr>
          <w:rFonts w:ascii="宋体" w:hAnsi="宋体"/>
          <w:szCs w:val="24"/>
        </w:rPr>
      </w:pPr>
      <w:r>
        <w:rPr>
          <w:rFonts w:hint="eastAsia" w:ascii="宋体" w:hAnsi="宋体"/>
          <w:szCs w:val="24"/>
        </w:rPr>
        <w:t>投标人应建立严格的质量保证体系，制定项目开发建设质量控制方案和措施，并督促落实各环节质量控制内容和目标；保证系统建设各个阶段工作满足招标方对质量的要求。</w:t>
      </w:r>
    </w:p>
    <w:p>
      <w:pPr>
        <w:pStyle w:val="14"/>
        <w:numPr>
          <w:ilvl w:val="1"/>
          <w:numId w:val="1"/>
        </w:numPr>
        <w:outlineLvl w:val="2"/>
        <w:rPr>
          <w:sz w:val="32"/>
          <w:szCs w:val="36"/>
        </w:rPr>
      </w:pPr>
      <w:bookmarkStart w:id="27" w:name="_Toc534392634"/>
      <w:bookmarkStart w:id="28" w:name="_Toc534209609"/>
      <w:r>
        <w:rPr>
          <w:rFonts w:hint="eastAsia"/>
          <w:sz w:val="32"/>
          <w:szCs w:val="36"/>
        </w:rPr>
        <w:t>项目进度管理</w:t>
      </w:r>
      <w:bookmarkEnd w:id="27"/>
      <w:bookmarkEnd w:id="28"/>
    </w:p>
    <w:p>
      <w:pPr>
        <w:pStyle w:val="28"/>
        <w:ind w:firstLine="600"/>
        <w:rPr>
          <w:rFonts w:ascii="宋体" w:hAnsi="宋体"/>
          <w:szCs w:val="24"/>
        </w:rPr>
      </w:pPr>
      <w:r>
        <w:rPr>
          <w:rFonts w:hint="eastAsia" w:ascii="宋体" w:hAnsi="宋体"/>
          <w:szCs w:val="24"/>
        </w:rPr>
        <w:t>投标人的项目进度管理应该遵循以下原则：</w:t>
      </w:r>
    </w:p>
    <w:p>
      <w:pPr>
        <w:pStyle w:val="28"/>
        <w:ind w:firstLine="600"/>
        <w:rPr>
          <w:rFonts w:ascii="宋体" w:hAnsi="宋体"/>
          <w:szCs w:val="24"/>
        </w:rPr>
      </w:pPr>
      <w:bookmarkStart w:id="29" w:name="_Toc534209610"/>
      <w:bookmarkStart w:id="30" w:name="_Toc534392635"/>
      <w:r>
        <w:rPr>
          <w:rFonts w:hint="eastAsia" w:ascii="宋体" w:hAnsi="宋体"/>
          <w:szCs w:val="24"/>
        </w:rPr>
        <w:t>（1）项目进度管理的依据是项目合同所约定的工期目标；</w:t>
      </w:r>
      <w:bookmarkEnd w:id="29"/>
      <w:bookmarkEnd w:id="30"/>
    </w:p>
    <w:p>
      <w:pPr>
        <w:pStyle w:val="28"/>
        <w:ind w:firstLine="600"/>
        <w:rPr>
          <w:rFonts w:ascii="宋体" w:hAnsi="宋体"/>
          <w:szCs w:val="24"/>
        </w:rPr>
      </w:pPr>
      <w:r>
        <w:rPr>
          <w:rFonts w:hint="eastAsia" w:ascii="宋体" w:hAnsi="宋体"/>
          <w:szCs w:val="24"/>
        </w:rPr>
        <w:t>（2）在确保项目质量和安全的原则下，控制项目进度。</w:t>
      </w:r>
    </w:p>
    <w:p>
      <w:pPr>
        <w:pStyle w:val="28"/>
        <w:ind w:firstLine="600"/>
        <w:rPr>
          <w:rFonts w:ascii="宋体" w:hAnsi="宋体"/>
          <w:szCs w:val="24"/>
        </w:rPr>
      </w:pPr>
      <w:r>
        <w:rPr>
          <w:rFonts w:hint="eastAsia" w:ascii="宋体" w:hAnsi="宋体"/>
          <w:szCs w:val="24"/>
        </w:rPr>
        <w:t>投标人的项目进度管理应该至少包含以下内容：</w:t>
      </w:r>
    </w:p>
    <w:p>
      <w:pPr>
        <w:pStyle w:val="28"/>
        <w:ind w:firstLine="600"/>
        <w:rPr>
          <w:rFonts w:ascii="宋体" w:hAnsi="宋体"/>
          <w:szCs w:val="24"/>
        </w:rPr>
      </w:pPr>
      <w:r>
        <w:rPr>
          <w:rFonts w:hint="eastAsia" w:ascii="宋体" w:hAnsi="宋体"/>
          <w:szCs w:val="24"/>
        </w:rPr>
        <w:t>（1）投标人在了解项目特点的前提下，根据工期目标，提交总体进度计划，以及定期提交阶段性工作计划；</w:t>
      </w:r>
    </w:p>
    <w:p>
      <w:pPr>
        <w:pStyle w:val="28"/>
        <w:ind w:firstLine="600"/>
        <w:rPr>
          <w:rFonts w:ascii="宋体" w:hAnsi="宋体"/>
          <w:szCs w:val="24"/>
        </w:rPr>
      </w:pPr>
      <w:r>
        <w:rPr>
          <w:rFonts w:hint="eastAsia" w:ascii="宋体" w:hAnsi="宋体"/>
          <w:szCs w:val="24"/>
        </w:rPr>
        <w:t>（</w:t>
      </w:r>
      <w:r>
        <w:rPr>
          <w:rFonts w:ascii="宋体" w:hAnsi="宋体"/>
          <w:szCs w:val="24"/>
        </w:rPr>
        <w:t>2</w:t>
      </w:r>
      <w:r>
        <w:rPr>
          <w:rFonts w:hint="eastAsia" w:ascii="宋体" w:hAnsi="宋体"/>
          <w:szCs w:val="24"/>
        </w:rPr>
        <w:t>）定期或不定期地召开或参加项目例会、协调会议等，向采购人通报项目进展情况，提交进度报告，及时解决相关问题。</w:t>
      </w:r>
      <w:r>
        <w:rPr>
          <w:rFonts w:ascii="宋体" w:hAnsi="宋体"/>
          <w:szCs w:val="24"/>
        </w:rPr>
        <w:t xml:space="preserve"> </w:t>
      </w:r>
    </w:p>
    <w:p>
      <w:pPr>
        <w:pStyle w:val="14"/>
        <w:numPr>
          <w:ilvl w:val="1"/>
          <w:numId w:val="1"/>
        </w:numPr>
        <w:outlineLvl w:val="2"/>
        <w:rPr>
          <w:sz w:val="32"/>
          <w:szCs w:val="36"/>
        </w:rPr>
      </w:pPr>
      <w:bookmarkStart w:id="31" w:name="_Toc534392636"/>
      <w:bookmarkStart w:id="32" w:name="_Toc534209611"/>
      <w:r>
        <w:rPr>
          <w:rFonts w:hint="eastAsia"/>
          <w:sz w:val="32"/>
          <w:szCs w:val="36"/>
        </w:rPr>
        <w:t>验收交付</w:t>
      </w:r>
      <w:bookmarkEnd w:id="31"/>
      <w:bookmarkEnd w:id="32"/>
      <w:r>
        <w:rPr>
          <w:rFonts w:hint="eastAsia"/>
          <w:sz w:val="32"/>
          <w:szCs w:val="36"/>
        </w:rPr>
        <w:t>管理</w:t>
      </w:r>
    </w:p>
    <w:p>
      <w:pPr>
        <w:pStyle w:val="28"/>
        <w:ind w:firstLine="600"/>
        <w:rPr>
          <w:rFonts w:ascii="宋体" w:hAnsi="宋体"/>
          <w:szCs w:val="24"/>
        </w:rPr>
      </w:pPr>
      <w:r>
        <w:rPr>
          <w:rFonts w:hint="eastAsia" w:ascii="宋体" w:hAnsi="宋体"/>
          <w:szCs w:val="24"/>
        </w:rPr>
        <w:t>项目实施完成后，按照建设单位要求，进行项目验收，并完成相关资料的交付：</w:t>
      </w:r>
    </w:p>
    <w:p>
      <w:pPr>
        <w:pStyle w:val="28"/>
        <w:ind w:firstLine="600"/>
        <w:rPr>
          <w:rFonts w:ascii="宋体" w:hAnsi="宋体"/>
          <w:szCs w:val="24"/>
        </w:rPr>
      </w:pPr>
      <w:r>
        <w:rPr>
          <w:rFonts w:hint="eastAsia" w:ascii="宋体" w:hAnsi="宋体"/>
          <w:szCs w:val="24"/>
        </w:rPr>
        <w:t>1）投标人应在项目验收后提供整个系统建设的文档，包括系统设计、开发、测试、运行、维护管理体系对应的全部管理规范和技术文档。</w:t>
      </w:r>
    </w:p>
    <w:p>
      <w:pPr>
        <w:pStyle w:val="28"/>
        <w:ind w:firstLine="600"/>
        <w:rPr>
          <w:rFonts w:ascii="宋体" w:hAnsi="宋体"/>
          <w:szCs w:val="24"/>
        </w:rPr>
      </w:pPr>
      <w:r>
        <w:rPr>
          <w:rFonts w:hint="eastAsia" w:ascii="宋体" w:hAnsi="宋体"/>
          <w:szCs w:val="24"/>
        </w:rPr>
        <w:t>2）技术文档应与系统相一致，技术文档应该全面、完整、详细、清晰。</w:t>
      </w:r>
    </w:p>
    <w:p>
      <w:pPr>
        <w:pStyle w:val="28"/>
        <w:ind w:firstLine="600"/>
        <w:rPr>
          <w:rFonts w:ascii="宋体" w:hAnsi="宋体"/>
          <w:szCs w:val="24"/>
        </w:rPr>
      </w:pPr>
      <w:r>
        <w:rPr>
          <w:rFonts w:hint="eastAsia" w:ascii="宋体" w:hAnsi="宋体"/>
          <w:szCs w:val="24"/>
        </w:rPr>
        <w:t>3）技术文档应能够满足投标人对系统的安装、使用、维护、应用开发的需要。</w:t>
      </w:r>
    </w:p>
    <w:p>
      <w:pPr>
        <w:pStyle w:val="28"/>
        <w:ind w:firstLine="600"/>
        <w:rPr>
          <w:rFonts w:ascii="宋体" w:hAnsi="宋体"/>
          <w:szCs w:val="24"/>
        </w:rPr>
      </w:pPr>
      <w:r>
        <w:rPr>
          <w:rFonts w:ascii="宋体" w:hAnsi="宋体"/>
          <w:szCs w:val="24"/>
        </w:rPr>
        <w:t>4</w:t>
      </w:r>
      <w:r>
        <w:rPr>
          <w:rFonts w:hint="eastAsia" w:ascii="宋体" w:hAnsi="宋体"/>
          <w:szCs w:val="24"/>
        </w:rPr>
        <w:t>）技术文档内容应满足GB8567《计算机软件产品开发文件编制指南》和GB/TI1457-89《软件工程术语》的要求。提供的文档和资料均应以纸张和光盘为载体，文件格式为Word文档或其他可视化、未加密的文件。</w:t>
      </w:r>
    </w:p>
    <w:p>
      <w:pPr>
        <w:pStyle w:val="14"/>
        <w:numPr>
          <w:ilvl w:val="1"/>
          <w:numId w:val="1"/>
        </w:numPr>
        <w:outlineLvl w:val="2"/>
        <w:rPr>
          <w:sz w:val="32"/>
          <w:szCs w:val="36"/>
        </w:rPr>
      </w:pPr>
      <w:r>
        <w:rPr>
          <w:rFonts w:hint="eastAsia"/>
          <w:sz w:val="32"/>
          <w:szCs w:val="36"/>
        </w:rPr>
        <w:t>项目团队要求</w:t>
      </w:r>
    </w:p>
    <w:p>
      <w:pPr>
        <w:widowControl/>
        <w:snapToGrid w:val="0"/>
        <w:ind w:firstLine="482"/>
        <w:rPr>
          <w:kern w:val="0"/>
        </w:rPr>
      </w:pPr>
      <w:r>
        <w:rPr>
          <w:rFonts w:hint="eastAsia"/>
          <w:kern w:val="0"/>
        </w:rPr>
        <w:t>项目需要一支为项目建设提供全面解决方案且项目经验丰富、配合默契、稳定的专业化团队。人员配置科学合理、分工明确，至少应包括项目经理、软件开发人员、测试人员以及部署培训、运行维护等角色。</w:t>
      </w:r>
    </w:p>
    <w:p>
      <w:pPr>
        <w:widowControl/>
        <w:snapToGrid w:val="0"/>
        <w:ind w:firstLine="482"/>
        <w:rPr>
          <w:kern w:val="0"/>
        </w:rPr>
      </w:pPr>
      <w:r>
        <w:rPr>
          <w:rFonts w:hint="eastAsia"/>
          <w:kern w:val="0"/>
        </w:rPr>
        <w:t>（1）项目实施方应组建一支经验丰富、配合默契且稳定的专业化团队，以保证项目按时、保质完成。</w:t>
      </w:r>
    </w:p>
    <w:p>
      <w:pPr>
        <w:widowControl/>
        <w:snapToGrid w:val="0"/>
        <w:ind w:firstLine="482"/>
        <w:rPr>
          <w:kern w:val="0"/>
        </w:rPr>
      </w:pPr>
      <w:r>
        <w:rPr>
          <w:rFonts w:hint="eastAsia"/>
          <w:kern w:val="0"/>
        </w:rPr>
        <w:t>（2）项目负责人和核心人员必须专职、全程负责本项目的实施，在合同有效期范围内，未经项目建设单位许可不得更换。项目建设过程中，应更换项目建设单位认为不合适的人员。</w:t>
      </w:r>
    </w:p>
    <w:p>
      <w:pPr>
        <w:widowControl/>
        <w:snapToGrid w:val="0"/>
        <w:ind w:firstLine="482"/>
        <w:rPr>
          <w:kern w:val="0"/>
        </w:rPr>
      </w:pPr>
      <w:r>
        <w:rPr>
          <w:rFonts w:hint="eastAsia"/>
          <w:kern w:val="0"/>
        </w:rPr>
        <w:t>（3）应明确各岗位的职责和任职资格。应配备业务经验丰富的项目经理、软件开发、软件测试等人员，项目经理须专职并全程负责本项目实施。</w:t>
      </w:r>
    </w:p>
    <w:p>
      <w:pPr>
        <w:widowControl/>
        <w:snapToGrid w:val="0"/>
        <w:ind w:firstLine="482"/>
        <w:rPr>
          <w:kern w:val="0"/>
        </w:rPr>
      </w:pPr>
      <w:r>
        <w:rPr>
          <w:rFonts w:hint="eastAsia"/>
          <w:kern w:val="0"/>
        </w:rPr>
        <w:t>（4）项目参与技术人员须具有相关项目软件开发及实施经验，熟悉卫生健康统计基础知识，必须具有责任感和服务意识。</w:t>
      </w:r>
    </w:p>
    <w:p>
      <w:pPr>
        <w:widowControl/>
        <w:snapToGrid w:val="0"/>
        <w:ind w:firstLine="482"/>
        <w:rPr>
          <w:kern w:val="0"/>
        </w:rPr>
      </w:pPr>
      <w:r>
        <w:rPr>
          <w:rFonts w:hint="eastAsia"/>
          <w:kern w:val="0"/>
        </w:rPr>
        <w:t>（5）制定详细人员组织方案，包括人员姓名、学历、项目经验及职责分工。</w:t>
      </w:r>
    </w:p>
    <w:p>
      <w:pPr>
        <w:widowControl/>
        <w:snapToGrid w:val="0"/>
        <w:ind w:firstLine="482"/>
        <w:rPr>
          <w:kern w:val="0"/>
        </w:rPr>
      </w:pPr>
      <w:r>
        <w:rPr>
          <w:rFonts w:hint="eastAsia"/>
          <w:kern w:val="0"/>
        </w:rPr>
        <w:t>（6）需要根据项目情况在不同阶段配置足够的人员组织实施项目，确保按项目进度完成建设工作。</w:t>
      </w:r>
    </w:p>
    <w:p>
      <w:pPr>
        <w:pStyle w:val="14"/>
        <w:numPr>
          <w:ilvl w:val="1"/>
          <w:numId w:val="1"/>
        </w:numPr>
        <w:outlineLvl w:val="2"/>
        <w:rPr>
          <w:sz w:val="32"/>
          <w:szCs w:val="36"/>
        </w:rPr>
      </w:pPr>
      <w:bookmarkStart w:id="33" w:name="_Toc534392643"/>
      <w:r>
        <w:rPr>
          <w:rFonts w:hint="eastAsia"/>
          <w:sz w:val="32"/>
          <w:szCs w:val="36"/>
        </w:rPr>
        <w:t>系统培训要求</w:t>
      </w:r>
      <w:bookmarkEnd w:id="33"/>
    </w:p>
    <w:p>
      <w:pPr>
        <w:widowControl/>
        <w:snapToGrid w:val="0"/>
        <w:ind w:firstLine="482"/>
        <w:rPr>
          <w:kern w:val="0"/>
        </w:rPr>
      </w:pPr>
      <w:r>
        <w:rPr>
          <w:rFonts w:hint="eastAsia"/>
          <w:kern w:val="0"/>
        </w:rPr>
        <w:t>（1）投标人应安排经验丰富的培训人员，为系统使用人员提供系统配置、开发、安装、使用和维护等方面的培训。</w:t>
      </w:r>
    </w:p>
    <w:p>
      <w:pPr>
        <w:widowControl/>
        <w:snapToGrid w:val="0"/>
        <w:ind w:firstLine="482"/>
        <w:rPr>
          <w:kern w:val="0"/>
        </w:rPr>
      </w:pPr>
      <w:r>
        <w:rPr>
          <w:rFonts w:hint="eastAsia"/>
          <w:kern w:val="0"/>
        </w:rPr>
        <w:t>（2）投标人应提供详细的培训方案。培训方案主要包括培训组织机构、培训内容、培训大纲、培训计划、培训对象等，并按照上述要求进行详细说明。</w:t>
      </w:r>
    </w:p>
    <w:p>
      <w:pPr>
        <w:widowControl/>
        <w:snapToGrid w:val="0"/>
        <w:ind w:firstLine="482"/>
        <w:rPr>
          <w:kern w:val="0"/>
        </w:rPr>
      </w:pPr>
      <w:r>
        <w:rPr>
          <w:rFonts w:hint="eastAsia"/>
          <w:kern w:val="0"/>
        </w:rPr>
        <w:t>（3）投标人负责提供培训所需计划和资料、培训教材格式包括视频教材、用户操作手册、培训PPT，培训所使用的语言和教材必须是中文。</w:t>
      </w:r>
    </w:p>
    <w:p>
      <w:pPr>
        <w:pStyle w:val="14"/>
        <w:numPr>
          <w:ilvl w:val="1"/>
          <w:numId w:val="1"/>
        </w:numPr>
        <w:outlineLvl w:val="2"/>
        <w:rPr>
          <w:sz w:val="32"/>
          <w:szCs w:val="36"/>
        </w:rPr>
      </w:pPr>
      <w:r>
        <w:rPr>
          <w:rFonts w:hint="eastAsia"/>
          <w:sz w:val="32"/>
          <w:szCs w:val="36"/>
        </w:rPr>
        <w:t>应急管理要求</w:t>
      </w:r>
    </w:p>
    <w:p>
      <w:pPr>
        <w:widowControl/>
        <w:snapToGrid w:val="0"/>
        <w:ind w:firstLine="482"/>
        <w:rPr>
          <w:rFonts w:hint="eastAsia"/>
          <w:kern w:val="0"/>
        </w:rPr>
      </w:pPr>
      <w:r>
        <w:rPr>
          <w:rFonts w:hint="eastAsia"/>
          <w:kern w:val="0"/>
        </w:rPr>
        <w:t>供应商需编写应急管理方案，方案需考虑各种故障类型（包括数据库崩溃、业务系统遭受攻击、网络中断、设备损坏、系统断电等），分别给出解决方案。</w:t>
      </w:r>
    </w:p>
    <w:p>
      <w:pPr>
        <w:pStyle w:val="14"/>
        <w:numPr>
          <w:ilvl w:val="1"/>
          <w:numId w:val="1"/>
        </w:numPr>
        <w:outlineLvl w:val="2"/>
        <w:rPr>
          <w:sz w:val="32"/>
          <w:szCs w:val="36"/>
        </w:rPr>
      </w:pPr>
      <w:r>
        <w:rPr>
          <w:rFonts w:hint="eastAsia"/>
          <w:sz w:val="32"/>
          <w:szCs w:val="36"/>
        </w:rPr>
        <w:t>信息安全要求</w:t>
      </w:r>
    </w:p>
    <w:p>
      <w:pPr>
        <w:widowControl/>
        <w:snapToGrid w:val="0"/>
        <w:ind w:firstLine="482"/>
        <w:rPr>
          <w:rFonts w:hint="eastAsia"/>
          <w:kern w:val="0"/>
        </w:rPr>
      </w:pPr>
      <w:r>
        <w:rPr>
          <w:rFonts w:hint="eastAsia"/>
          <w:kern w:val="0"/>
        </w:rPr>
        <w:t>根据</w:t>
      </w:r>
      <w:r>
        <w:rPr>
          <w:kern w:val="0"/>
        </w:rPr>
        <w:t>国家有关</w:t>
      </w:r>
      <w:r>
        <w:rPr>
          <w:rFonts w:hint="eastAsia"/>
          <w:kern w:val="0"/>
        </w:rPr>
        <w:t>卫生</w:t>
      </w:r>
      <w:r>
        <w:rPr>
          <w:kern w:val="0"/>
        </w:rPr>
        <w:t>行业数据</w:t>
      </w:r>
      <w:r>
        <w:rPr>
          <w:rFonts w:hint="eastAsia"/>
          <w:kern w:val="0"/>
        </w:rPr>
        <w:t>安全和</w:t>
      </w:r>
      <w:r>
        <w:rPr>
          <w:kern w:val="0"/>
        </w:rPr>
        <w:t>信息保护的要求</w:t>
      </w:r>
      <w:r>
        <w:rPr>
          <w:rFonts w:hint="eastAsia"/>
          <w:kern w:val="0"/>
        </w:rPr>
        <w:t>及湖北省相关卫生行业数据安全和信息保护要求及标准。项目</w:t>
      </w:r>
      <w:r>
        <w:rPr>
          <w:kern w:val="0"/>
        </w:rPr>
        <w:t>建设</w:t>
      </w:r>
      <w:r>
        <w:rPr>
          <w:rFonts w:hint="eastAsia"/>
          <w:kern w:val="0"/>
        </w:rPr>
        <w:t>各阶段严守</w:t>
      </w:r>
      <w:r>
        <w:rPr>
          <w:kern w:val="0"/>
        </w:rPr>
        <w:t>安全红线，</w:t>
      </w:r>
      <w:r>
        <w:rPr>
          <w:rFonts w:hint="eastAsia"/>
          <w:kern w:val="0"/>
        </w:rPr>
        <w:t>安全管理、应急预案、硬件管理符合国家</w:t>
      </w:r>
      <w:r>
        <w:rPr>
          <w:kern w:val="0"/>
        </w:rPr>
        <w:t>和</w:t>
      </w:r>
      <w:r>
        <w:rPr>
          <w:rFonts w:hint="eastAsia"/>
          <w:kern w:val="0"/>
        </w:rPr>
        <w:t>省相关规定要求。</w:t>
      </w:r>
    </w:p>
    <w:p>
      <w:pPr>
        <w:widowControl/>
        <w:snapToGrid w:val="0"/>
        <w:ind w:firstLine="482"/>
        <w:rPr>
          <w:kern w:val="0"/>
        </w:rPr>
      </w:pPr>
      <w:r>
        <w:rPr>
          <w:rFonts w:hint="eastAsia"/>
          <w:kern w:val="0"/>
        </w:rPr>
        <w:t>成交单位应严格把控运维人员安全风险及系统安全风险，定期对系统进行安全监测和巡检，出具安全巡检报告。及时修复系统存在的各类安全漏洞。</w:t>
      </w:r>
    </w:p>
    <w:p>
      <w:pPr>
        <w:widowControl/>
        <w:snapToGrid w:val="0"/>
        <w:ind w:firstLine="482"/>
        <w:rPr>
          <w:b/>
          <w:bCs/>
          <w:sz w:val="36"/>
          <w:szCs w:val="40"/>
        </w:rPr>
      </w:pPr>
      <w:r>
        <w:rPr>
          <w:rFonts w:hint="eastAsia"/>
          <w:kern w:val="0"/>
        </w:rPr>
        <w:t>成交单位承担因系统本身漏洞所引发的信息安全事件而带来的相关法律责任。</w:t>
      </w:r>
    </w:p>
    <w:p>
      <w:pPr>
        <w:widowControl/>
        <w:snapToGrid w:val="0"/>
        <w:ind w:firstLine="0"/>
        <w:rPr>
          <w:rFonts w:hint="eastAsia"/>
          <w:kern w:val="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F4779"/>
    <w:multiLevelType w:val="multilevel"/>
    <w:tmpl w:val="265F4779"/>
    <w:lvl w:ilvl="0" w:tentative="0">
      <w:start w:val="1"/>
      <w:numFmt w:val="bullet"/>
      <w:pStyle w:val="18"/>
      <w:lvlText w:val=""/>
      <w:lvlJc w:val="left"/>
      <w:pPr>
        <w:tabs>
          <w:tab w:val="left" w:pos="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0"/>
        </w:tabs>
        <w:ind w:left="1680" w:hanging="420"/>
      </w:pPr>
      <w:rPr>
        <w:rFonts w:hint="default" w:ascii="Wingdings" w:hAnsi="Wingdings"/>
      </w:rPr>
    </w:lvl>
    <w:lvl w:ilvl="3" w:tentative="0">
      <w:start w:val="1"/>
      <w:numFmt w:val="bullet"/>
      <w:lvlText w:val=""/>
      <w:lvlJc w:val="left"/>
      <w:pPr>
        <w:tabs>
          <w:tab w:val="left" w:pos="0"/>
        </w:tabs>
        <w:ind w:left="2100" w:hanging="420"/>
      </w:pPr>
      <w:rPr>
        <w:rFonts w:hint="default" w:ascii="Wingdings" w:hAnsi="Wingdings"/>
      </w:rPr>
    </w:lvl>
    <w:lvl w:ilvl="4" w:tentative="0">
      <w:start w:val="1"/>
      <w:numFmt w:val="bullet"/>
      <w:lvlText w:val=""/>
      <w:lvlJc w:val="left"/>
      <w:pPr>
        <w:tabs>
          <w:tab w:val="left" w:pos="0"/>
        </w:tabs>
        <w:ind w:left="2520" w:hanging="420"/>
      </w:pPr>
      <w:rPr>
        <w:rFonts w:hint="default" w:ascii="Wingdings" w:hAnsi="Wingdings"/>
      </w:rPr>
    </w:lvl>
    <w:lvl w:ilvl="5" w:tentative="0">
      <w:start w:val="1"/>
      <w:numFmt w:val="bullet"/>
      <w:lvlText w:val=""/>
      <w:lvlJc w:val="left"/>
      <w:pPr>
        <w:tabs>
          <w:tab w:val="left" w:pos="0"/>
        </w:tabs>
        <w:ind w:left="2940" w:hanging="420"/>
      </w:pPr>
      <w:rPr>
        <w:rFonts w:hint="default" w:ascii="Wingdings" w:hAnsi="Wingdings"/>
      </w:rPr>
    </w:lvl>
    <w:lvl w:ilvl="6" w:tentative="0">
      <w:start w:val="1"/>
      <w:numFmt w:val="bullet"/>
      <w:lvlText w:val=""/>
      <w:lvlJc w:val="left"/>
      <w:pPr>
        <w:tabs>
          <w:tab w:val="left" w:pos="0"/>
        </w:tabs>
        <w:ind w:left="3360" w:hanging="420"/>
      </w:pPr>
      <w:rPr>
        <w:rFonts w:hint="default" w:ascii="Wingdings" w:hAnsi="Wingdings"/>
      </w:rPr>
    </w:lvl>
    <w:lvl w:ilvl="7" w:tentative="0">
      <w:start w:val="1"/>
      <w:numFmt w:val="bullet"/>
      <w:lvlText w:val=""/>
      <w:lvlJc w:val="left"/>
      <w:pPr>
        <w:tabs>
          <w:tab w:val="left" w:pos="0"/>
        </w:tabs>
        <w:ind w:left="3780" w:hanging="420"/>
      </w:pPr>
      <w:rPr>
        <w:rFonts w:hint="default" w:ascii="Wingdings" w:hAnsi="Wingdings"/>
      </w:rPr>
    </w:lvl>
    <w:lvl w:ilvl="8" w:tentative="0">
      <w:start w:val="1"/>
      <w:numFmt w:val="bullet"/>
      <w:lvlText w:val=""/>
      <w:lvlJc w:val="left"/>
      <w:pPr>
        <w:tabs>
          <w:tab w:val="left" w:pos="0"/>
        </w:tabs>
        <w:ind w:left="4200" w:hanging="420"/>
      </w:pPr>
      <w:rPr>
        <w:rFonts w:hint="default" w:ascii="Wingdings" w:hAnsi="Wingdings"/>
      </w:rPr>
    </w:lvl>
  </w:abstractNum>
  <w:abstractNum w:abstractNumId="1">
    <w:nsid w:val="2F6FA352"/>
    <w:multiLevelType w:val="singleLevel"/>
    <w:tmpl w:val="2F6FA352"/>
    <w:lvl w:ilvl="0" w:tentative="0">
      <w:start w:val="1"/>
      <w:numFmt w:val="decimal"/>
      <w:pStyle w:val="16"/>
      <w:lvlText w:val="图%1："/>
      <w:lvlJc w:val="left"/>
      <w:pPr>
        <w:tabs>
          <w:tab w:val="left" w:pos="420"/>
        </w:tabs>
        <w:ind w:left="425" w:hanging="425"/>
      </w:pPr>
      <w:rPr>
        <w:rFonts w:hint="default"/>
      </w:rPr>
    </w:lvl>
  </w:abstractNum>
  <w:abstractNum w:abstractNumId="2">
    <w:nsid w:val="79753EB3"/>
    <w:multiLevelType w:val="multilevel"/>
    <w:tmpl w:val="79753EB3"/>
    <w:lvl w:ilvl="0" w:tentative="0">
      <w:start w:val="1"/>
      <w:numFmt w:val="decimal"/>
      <w:pStyle w:val="14"/>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kOGI5MTFhM2RmYjk5OTYxYmZmNTZhNzUwZWFkYzgifQ=="/>
  </w:docVars>
  <w:rsids>
    <w:rsidRoot w:val="00315246"/>
    <w:rsid w:val="000C024D"/>
    <w:rsid w:val="00125B7A"/>
    <w:rsid w:val="00315246"/>
    <w:rsid w:val="00337199"/>
    <w:rsid w:val="00350E5F"/>
    <w:rsid w:val="003F6955"/>
    <w:rsid w:val="005731F2"/>
    <w:rsid w:val="005C14ED"/>
    <w:rsid w:val="006E1246"/>
    <w:rsid w:val="006E62B0"/>
    <w:rsid w:val="00712F4C"/>
    <w:rsid w:val="00797857"/>
    <w:rsid w:val="007C1744"/>
    <w:rsid w:val="00821C53"/>
    <w:rsid w:val="008519C5"/>
    <w:rsid w:val="009441E6"/>
    <w:rsid w:val="009C3080"/>
    <w:rsid w:val="009C3A1B"/>
    <w:rsid w:val="009E32D3"/>
    <w:rsid w:val="009F0DFA"/>
    <w:rsid w:val="009F5E2D"/>
    <w:rsid w:val="00AF0307"/>
    <w:rsid w:val="00B126A0"/>
    <w:rsid w:val="00DD2C97"/>
    <w:rsid w:val="00EE3C14"/>
    <w:rsid w:val="00F70B24"/>
    <w:rsid w:val="00F7448D"/>
    <w:rsid w:val="0972399A"/>
    <w:rsid w:val="170A12B2"/>
    <w:rsid w:val="302F789C"/>
    <w:rsid w:val="431622E6"/>
    <w:rsid w:val="4E837302"/>
    <w:rsid w:val="51B61AA6"/>
    <w:rsid w:val="68100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pPr>
    <w:rPr>
      <w:rFonts w:ascii="宋体" w:hAnsi="宋体" w:eastAsia="宋体" w:cstheme="minorBidi"/>
      <w:kern w:val="2"/>
      <w:sz w:val="24"/>
      <w:szCs w:val="28"/>
      <w:lang w:val="en-US" w:eastAsia="zh-CN" w:bidi="ar-SA"/>
    </w:rPr>
  </w:style>
  <w:style w:type="paragraph" w:styleId="2">
    <w:name w:val="heading 3"/>
    <w:basedOn w:val="1"/>
    <w:next w:val="1"/>
    <w:link w:val="23"/>
    <w:unhideWhenUsed/>
    <w:qFormat/>
    <w:uiPriority w:val="9"/>
    <w:pPr>
      <w:keepNext/>
      <w:keepLines/>
      <w:spacing w:before="260" w:after="260" w:line="416" w:lineRule="auto"/>
      <w:outlineLvl w:val="2"/>
    </w:pPr>
    <w:rPr>
      <w:b/>
      <w:bCs/>
      <w:sz w:val="32"/>
      <w:szCs w:val="32"/>
    </w:rPr>
  </w:style>
  <w:style w:type="paragraph" w:styleId="3">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
      <w:bCs/>
      <w:sz w:val="28"/>
    </w:rPr>
  </w:style>
  <w:style w:type="paragraph" w:styleId="4">
    <w:name w:val="heading 5"/>
    <w:basedOn w:val="1"/>
    <w:next w:val="1"/>
    <w:link w:val="27"/>
    <w:unhideWhenUsed/>
    <w:qFormat/>
    <w:uiPriority w:val="9"/>
    <w:pPr>
      <w:keepNext/>
      <w:keepLines/>
      <w:spacing w:before="280" w:after="290" w:line="376" w:lineRule="auto"/>
      <w:outlineLvl w:val="4"/>
    </w:pPr>
    <w:rPr>
      <w:b/>
      <w:bCs/>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0"/>
    <w:semiHidden/>
    <w:unhideWhenUsed/>
    <w:uiPriority w:val="99"/>
    <w:pPr>
      <w:spacing w:after="120"/>
    </w:pPr>
  </w:style>
  <w:style w:type="paragraph" w:styleId="6">
    <w:name w:val="footer"/>
    <w:basedOn w:val="1"/>
    <w:link w:val="13"/>
    <w:unhideWhenUsed/>
    <w:qFormat/>
    <w:uiPriority w:val="99"/>
    <w:pPr>
      <w:tabs>
        <w:tab w:val="center" w:pos="4153"/>
        <w:tab w:val="right" w:pos="8306"/>
      </w:tabs>
      <w:snapToGrid w:val="0"/>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5"/>
    <w:link w:val="21"/>
    <w:semiHidden/>
    <w:unhideWhenUsed/>
    <w:qFormat/>
    <w:uiPriority w:val="99"/>
    <w:pPr>
      <w:ind w:firstLineChars="100"/>
    </w:pPr>
  </w:style>
  <w:style w:type="table" w:styleId="10">
    <w:name w:val="Table Grid"/>
    <w:basedOn w:val="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paragraph" w:styleId="14">
    <w:name w:val="List Paragraph"/>
    <w:basedOn w:val="1"/>
    <w:qFormat/>
    <w:uiPriority w:val="34"/>
    <w:pPr>
      <w:numPr>
        <w:ilvl w:val="0"/>
        <w:numId w:val="1"/>
      </w:numPr>
      <w:spacing w:before="240" w:after="240" w:line="480" w:lineRule="auto"/>
    </w:pPr>
    <w:rPr>
      <w:b/>
      <w:bCs/>
      <w:sz w:val="36"/>
      <w:szCs w:val="40"/>
    </w:rPr>
  </w:style>
  <w:style w:type="paragraph" w:customStyle="1" w:styleId="15">
    <w:name w:val="文档正文"/>
    <w:basedOn w:val="1"/>
    <w:link w:val="19"/>
    <w:unhideWhenUsed/>
    <w:qFormat/>
    <w:uiPriority w:val="0"/>
    <w:pPr>
      <w:snapToGrid w:val="0"/>
      <w:spacing w:before="60" w:after="60"/>
      <w:ind w:firstLine="482"/>
      <w:jc w:val="both"/>
    </w:pPr>
    <w:rPr>
      <w:rFonts w:ascii="Calibri" w:hAnsi="Calibri" w:cs="Times New Roman"/>
      <w:sz w:val="21"/>
      <w:szCs w:val="22"/>
    </w:rPr>
  </w:style>
  <w:style w:type="paragraph" w:customStyle="1" w:styleId="16">
    <w:name w:val="图片"/>
    <w:basedOn w:val="1"/>
    <w:next w:val="8"/>
    <w:qFormat/>
    <w:uiPriority w:val="0"/>
    <w:pPr>
      <w:numPr>
        <w:ilvl w:val="0"/>
        <w:numId w:val="2"/>
      </w:numPr>
      <w:spacing w:before="50" w:beforeLines="50" w:after="50" w:afterLines="50"/>
      <w:jc w:val="center"/>
    </w:pPr>
    <w:rPr>
      <w:rFonts w:ascii="Calibri" w:hAnsi="Calibri" w:cs="Times New Roman"/>
      <w:b/>
      <w:szCs w:val="24"/>
    </w:rPr>
  </w:style>
  <w:style w:type="paragraph" w:customStyle="1" w:styleId="17">
    <w:name w:val="表"/>
    <w:basedOn w:val="1"/>
    <w:next w:val="15"/>
    <w:qFormat/>
    <w:uiPriority w:val="0"/>
    <w:pPr>
      <w:spacing w:before="60" w:after="60" w:line="240" w:lineRule="auto"/>
      <w:ind w:firstLine="0"/>
      <w:jc w:val="center"/>
    </w:pPr>
    <w:rPr>
      <w:rFonts w:ascii="Calibri" w:hAnsi="Calibri" w:eastAsia="黑体" w:cs="Times New Roman"/>
      <w:b/>
      <w:sz w:val="21"/>
      <w:szCs w:val="22"/>
    </w:rPr>
  </w:style>
  <w:style w:type="paragraph" w:customStyle="1" w:styleId="18">
    <w:name w:val="标记"/>
    <w:basedOn w:val="1"/>
    <w:qFormat/>
    <w:uiPriority w:val="0"/>
    <w:pPr>
      <w:numPr>
        <w:ilvl w:val="0"/>
        <w:numId w:val="3"/>
      </w:numPr>
      <w:adjustRightInd w:val="0"/>
      <w:spacing w:before="60" w:after="60" w:line="360" w:lineRule="atLeast"/>
      <w:jc w:val="both"/>
    </w:pPr>
    <w:rPr>
      <w:rFonts w:ascii="Calibri" w:hAnsi="Calibri" w:cs="Times New Roman"/>
      <w:b/>
      <w:sz w:val="21"/>
      <w:szCs w:val="22"/>
    </w:rPr>
  </w:style>
  <w:style w:type="character" w:customStyle="1" w:styleId="19">
    <w:name w:val="文档正文 Char"/>
    <w:link w:val="15"/>
    <w:qFormat/>
    <w:uiPriority w:val="0"/>
    <w:rPr>
      <w:rFonts w:ascii="Calibri" w:hAnsi="Calibri" w:eastAsia="宋体" w:cs="Times New Roman"/>
    </w:rPr>
  </w:style>
  <w:style w:type="character" w:customStyle="1" w:styleId="20">
    <w:name w:val="正文文本 字符"/>
    <w:basedOn w:val="11"/>
    <w:link w:val="5"/>
    <w:semiHidden/>
    <w:uiPriority w:val="99"/>
    <w:rPr>
      <w:rFonts w:ascii="宋体" w:hAnsi="宋体" w:eastAsia="宋体"/>
      <w:sz w:val="24"/>
      <w:szCs w:val="28"/>
    </w:rPr>
  </w:style>
  <w:style w:type="character" w:customStyle="1" w:styleId="21">
    <w:name w:val="正文文本首行缩进 字符"/>
    <w:basedOn w:val="20"/>
    <w:link w:val="8"/>
    <w:semiHidden/>
    <w:qFormat/>
    <w:uiPriority w:val="99"/>
    <w:rPr>
      <w:rFonts w:ascii="宋体" w:hAnsi="宋体" w:eastAsia="宋体"/>
      <w:sz w:val="24"/>
      <w:szCs w:val="28"/>
    </w:rPr>
  </w:style>
  <w:style w:type="paragraph" w:customStyle="1" w:styleId="22">
    <w:name w:val="样式 标题 3 + (中文) 黑体 小四 非加粗 段前: 7.8 磅 段后: 0 磅 行距: 固定值 20 磅"/>
    <w:basedOn w:val="2"/>
    <w:qFormat/>
    <w:uiPriority w:val="0"/>
    <w:pPr>
      <w:spacing w:before="0" w:after="0" w:line="400" w:lineRule="exact"/>
      <w:jc w:val="both"/>
    </w:pPr>
    <w:rPr>
      <w:rFonts w:ascii="Times New Roman" w:hAnsi="Times New Roman" w:eastAsia="黑体" w:cs="宋体"/>
      <w:b w:val="0"/>
      <w:bCs w:val="0"/>
      <w:sz w:val="24"/>
      <w:szCs w:val="20"/>
      <w:lang w:val="zh-CN" w:eastAsia="zh-CN"/>
    </w:rPr>
  </w:style>
  <w:style w:type="character" w:customStyle="1" w:styleId="23">
    <w:name w:val="标题 3 字符"/>
    <w:basedOn w:val="11"/>
    <w:link w:val="2"/>
    <w:qFormat/>
    <w:uiPriority w:val="9"/>
    <w:rPr>
      <w:rFonts w:ascii="宋体" w:hAnsi="宋体" w:eastAsia="宋体"/>
      <w:b/>
      <w:bCs/>
      <w:sz w:val="32"/>
      <w:szCs w:val="32"/>
    </w:rPr>
  </w:style>
  <w:style w:type="character" w:customStyle="1" w:styleId="24">
    <w:name w:val="标题 4 字符"/>
    <w:basedOn w:val="11"/>
    <w:link w:val="3"/>
    <w:qFormat/>
    <w:uiPriority w:val="9"/>
    <w:rPr>
      <w:rFonts w:asciiTheme="majorHAnsi" w:hAnsiTheme="majorHAnsi" w:eastAsiaTheme="majorEastAsia" w:cstheme="majorBidi"/>
      <w:b/>
      <w:bCs/>
      <w:sz w:val="28"/>
      <w:szCs w:val="28"/>
    </w:rPr>
  </w:style>
  <w:style w:type="character" w:customStyle="1" w:styleId="25">
    <w:name w:val="￥正文 Char Char"/>
    <w:link w:val="26"/>
    <w:qFormat/>
    <w:uiPriority w:val="0"/>
    <w:rPr>
      <w:sz w:val="24"/>
      <w:lang w:eastAsia="en-US"/>
    </w:rPr>
  </w:style>
  <w:style w:type="paragraph" w:customStyle="1" w:styleId="26">
    <w:name w:val="￥正文"/>
    <w:basedOn w:val="1"/>
    <w:link w:val="25"/>
    <w:qFormat/>
    <w:uiPriority w:val="0"/>
    <w:pPr>
      <w:ind w:firstLine="200" w:firstLineChars="200"/>
      <w:jc w:val="both"/>
    </w:pPr>
    <w:rPr>
      <w:rFonts w:asciiTheme="minorHAnsi" w:hAnsiTheme="minorHAnsi" w:eastAsiaTheme="minorEastAsia"/>
      <w:szCs w:val="22"/>
      <w:lang w:eastAsia="en-US"/>
    </w:rPr>
  </w:style>
  <w:style w:type="character" w:customStyle="1" w:styleId="27">
    <w:name w:val="标题 5 字符"/>
    <w:basedOn w:val="11"/>
    <w:link w:val="4"/>
    <w:qFormat/>
    <w:uiPriority w:val="9"/>
    <w:rPr>
      <w:rFonts w:ascii="宋体" w:hAnsi="宋体" w:eastAsia="宋体"/>
      <w:b/>
      <w:bCs/>
      <w:sz w:val="28"/>
      <w:szCs w:val="28"/>
    </w:rPr>
  </w:style>
  <w:style w:type="paragraph" w:customStyle="1" w:styleId="28">
    <w:name w:val="样式 正文文本缩进 + 左  0 字符"/>
    <w:qFormat/>
    <w:uiPriority w:val="0"/>
    <w:pPr>
      <w:spacing w:line="360" w:lineRule="auto"/>
      <w:ind w:firstLine="250" w:firstLineChars="250"/>
    </w:pPr>
    <w:rPr>
      <w:rFonts w:ascii="Times New Roman" w:hAnsi="Times New Roman" w:eastAsia="宋体" w:cs="宋体"/>
      <w:kern w:val="2"/>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5325</Words>
  <Characters>5486</Characters>
  <Lines>43</Lines>
  <Paragraphs>12</Paragraphs>
  <TotalTime>3</TotalTime>
  <ScaleCrop>false</ScaleCrop>
  <LinksUpToDate>false</LinksUpToDate>
  <CharactersWithSpaces>5494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2023-08-03T02:08:00Z</dcterms:created>
  <dc:creator>Administrator</dc:creator>
  <cp:lastModifiedBy>zhongkn</cp:lastModifiedBy>
  <dcterms:modified xsi:type="dcterms:W3CDTF">2023-10-11T08:53:52Z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E96CF9132BB54D8B8AE03CDAA210715D</vt:lpwstr>
  </property>
</Properties>
</file>