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湖北省卫生健康委员会</w:t>
      </w:r>
    </w:p>
    <w:p>
      <w:pPr>
        <w:jc w:val="center"/>
        <w:outlineLvl w:val="0"/>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部门网站运维服务项目采购需求</w:t>
      </w:r>
    </w:p>
    <w:p>
      <w:pPr>
        <w:spacing w:line="560" w:lineRule="exact"/>
        <w:ind w:firstLine="640" w:firstLineChars="200"/>
        <w:rPr>
          <w:rFonts w:hint="eastAsia" w:ascii="CESI黑体-GB2312" w:hAnsi="CESI黑体-GB2312" w:eastAsia="CESI黑体-GB2312" w:cs="CESI黑体-GB2312"/>
          <w:sz w:val="32"/>
          <w:szCs w:val="32"/>
          <w:lang w:eastAsia="zh-CN"/>
        </w:rPr>
      </w:pPr>
    </w:p>
    <w:p>
      <w:pPr>
        <w:spacing w:line="560" w:lineRule="exact"/>
        <w:ind w:firstLine="640" w:firstLineChars="200"/>
        <w:rPr>
          <w:rFonts w:hint="eastAsia" w:ascii="CESI黑体-GB2312" w:hAnsi="CESI黑体-GB2312" w:eastAsia="CESI黑体-GB2312" w:cs="CESI黑体-GB2312"/>
          <w:sz w:val="32"/>
          <w:szCs w:val="32"/>
          <w:lang w:eastAsia="zh-CN"/>
        </w:rPr>
      </w:pPr>
      <w:bookmarkStart w:id="0" w:name="_GoBack"/>
      <w:bookmarkEnd w:id="0"/>
      <w:r>
        <w:rPr>
          <w:rFonts w:hint="eastAsia" w:ascii="CESI黑体-GB2312" w:hAnsi="CESI黑体-GB2312" w:eastAsia="CESI黑体-GB2312" w:cs="CESI黑体-GB2312"/>
          <w:sz w:val="32"/>
          <w:szCs w:val="32"/>
          <w:lang w:eastAsia="zh-CN"/>
        </w:rPr>
        <w:t>一、项目名称</w:t>
      </w:r>
    </w:p>
    <w:p>
      <w:pPr>
        <w:numPr>
          <w:ilvl w:val="0"/>
          <w:numId w:val="0"/>
        </w:num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湖北省卫生健康委员会网站运维服务项目</w:t>
      </w:r>
    </w:p>
    <w:p>
      <w:pPr>
        <w:spacing w:line="560" w:lineRule="exact"/>
        <w:ind w:firstLine="640" w:firstLineChars="200"/>
        <w:rPr>
          <w:rFonts w:hint="eastAsia" w:ascii="CESI黑体-GB2312" w:hAnsi="CESI黑体-GB2312" w:eastAsia="CESI黑体-GB2312" w:cs="CESI黑体-GB2312"/>
          <w:sz w:val="32"/>
          <w:szCs w:val="32"/>
          <w:lang w:val="en-US" w:eastAsia="zh-Hans"/>
        </w:rPr>
      </w:pPr>
      <w:r>
        <w:rPr>
          <w:rFonts w:hint="eastAsia" w:ascii="CESI黑体-GB2312" w:hAnsi="CESI黑体-GB2312" w:eastAsia="CESI黑体-GB2312" w:cs="CESI黑体-GB2312"/>
          <w:sz w:val="32"/>
          <w:szCs w:val="32"/>
          <w:lang w:val="en-US" w:eastAsia="zh-CN"/>
        </w:rPr>
        <w:t>二、</w:t>
      </w:r>
      <w:r>
        <w:rPr>
          <w:rFonts w:hint="eastAsia" w:ascii="CESI黑体-GB2312" w:hAnsi="CESI黑体-GB2312" w:eastAsia="CESI黑体-GB2312" w:cs="CESI黑体-GB2312"/>
          <w:sz w:val="32"/>
          <w:szCs w:val="32"/>
          <w:lang w:val="en-US" w:eastAsia="zh-Hans"/>
        </w:rPr>
        <w:t>项目预算</w:t>
      </w:r>
    </w:p>
    <w:p>
      <w:pPr>
        <w:numPr>
          <w:ilvl w:val="0"/>
          <w:numId w:val="0"/>
        </w:numPr>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万元</w:t>
      </w:r>
    </w:p>
    <w:p>
      <w:p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CN"/>
        </w:rPr>
        <w:t>三、</w:t>
      </w:r>
      <w:r>
        <w:rPr>
          <w:rFonts w:hint="eastAsia" w:ascii="CESI黑体-GB2312" w:hAnsi="CESI黑体-GB2312" w:eastAsia="CESI黑体-GB2312" w:cs="CESI黑体-GB2312"/>
          <w:sz w:val="32"/>
          <w:szCs w:val="32"/>
        </w:rPr>
        <w:t>项目采购需求如下</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提供湖北省卫生健康委员会部门网站运维服务项目所需的网站技术运维服务、网站与政务新媒体监测服务、网站功能改造等内容。</w:t>
      </w:r>
    </w:p>
    <w:p>
      <w:pPr>
        <w:spacing w:line="560" w:lineRule="exact"/>
        <w:ind w:firstLine="642" w:firstLineChars="2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（一）网站技术运维服务。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1、网站基础运维服务。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（1）技术保障。提供7*24小时的网站运营响应服务，通过远程、现场方式等方式指导平台使用操作。每天对网站系统的服务情况进行监控，保障平台各板块功能能正常使用，对发现的问题进行及时解决和优化。</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（2）基础修改。根据需要，在页面整体布局不变的情况下调整栏目及页面，提供对系统后台的账号进行新增、停用及权限调整操作，同时对网站地图及外链进行管理更新。</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（3）美工设计。提供门户网站横幅、弹窗、专题入口图片设计服务，横幅、弹窗动画效果设计；同时根据提供的相关解读文字材料，提供“一图读懂”图片解读设计服务，满足绩效考核指标要求。</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（4）数据处理。提供自定义查询数据维护、特定格式数据转换、动态图表数据维护、文件分类查询字段维护服务。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2、专栏页面定制服务。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（1）页面效果图设计。根据每年政府网站工作重点及委网站业务需求，提供专题专栏栏目规划及页面效果图设计服务。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（2）静态页面开发。使用主流网站开发技术标准，制作专栏静态页面，确保可以正常导入平台系统中进行二次开发，实现设计效果图上的所有功能。专栏模板能够兼容主流的浏览器。</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（3）模板实施建设。使用全省统一的集约化标准规范，进行专题专栏页面的功能实施，专栏实施测试完成之后，以全静态的方式发布服务。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3、网站日常巡检及安全保障服务。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网站及政务新媒体巡检。每周安排专人，对网站页面、网站各功能板块、依申请公开信件回复、“我为政府找错”留言回复、政务新媒体信息更新频率等进行巡查，并形成巡检周报进行汇报；同时每月检查网站每个栏目的更新完善情况，对信息更新不达标进行更新提醒，并形成月度检查报告。</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（2）智能问答数据运维。定对智能机器人的问题回复准确性进行巡检，同时每月对系统未知问题进行梳理导出，根据提供的标准回复内容，管理维护问题词库，保证智能问答的回复准确性。</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（3）网站安全保障服务。根据甲方提供的第三方安全扫描报告，组织专业人员定位分析相关问题，针对扫描发现的安全问题，迅速修补安全漏洞，保障系统的稳定、持续运行。</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4、功能定制开发服务。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（1）自定义查询功能。按照提供的自定义表单数据，开发自定义查询页面，梳理并导入查询数据表结构，对表单数据的查各项询字段进行定制，实现服务数据的精准查询。</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统计数据图表功能。基于湖北省卫健委网站发布的数据进行整合、抽取，经过一系列的聚合、重组、转换，形成直观可操作的业务数据服务应用；以统计数据专栏的形式对外提供数据图表可视化、数据在线查询，数据在线下载等服务。 </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政策文件分类查询。对网站已发布的政策文件信息按照类型与主题进行合理分类，并重新规划设计列表展示页面，实现政策文件的类型与主题分类，且能通过搜索文件名、文号、关键词等能够准确检索到相关文件。</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5、委网站与政务新媒体季度普查考核。</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按照最新国办普查考核指标要求，对委网站及政务新媒体在每季度考核节点前一个月对照各项指标进行自查与整改工作，保障委网站及政务新媒体每季度普查不被通报，工作内容包括：</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（1）普查测评。根据国办普查指标项，对委网站与新媒体进行全面测评与扫描，并同步出具详细测评报告，含得分、扣分、扣分说明、整改建议等内容，自评报告形成后的1个工作日内以邮件形式进行汇报。</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（2）问题整改。根据出具的网站及政务新媒体普查报告，针对报告中的各项问题提供功能性问题整改服务，同时栏目数据更新问题，提供每周电话提醒服务，保障考核硬性指标不失分。</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（3）整改复查。为保证每项指标不达标问题已全部整改完成，每周对问题整改项进行复查并记录复查时间，对于复查中出现的未整改问题进行持续提醒与整改服务。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6、委网站与政务新媒体年度绩效考核。</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按照省政府网站绩效考核指标要求，对委网站及政务新媒体在每年的考核节点前两个月对照各项指标进行自查与整改，保障委网站及政务新媒体考核达标，工作内容包括：</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绩效自评与整改。根据省政府网站绩效考核指标项，对委网站与新媒体进行全面自评与扫描，并同步出具详细测评报告，含得分、扣分、扣分说明、整改建议等内容，自评报告形成后的1个工作日内以邮件形式进行汇报。针对报告中的各项问题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非</w:t>
      </w:r>
      <w:r>
        <w:rPr>
          <w:rFonts w:hint="eastAsia" w:ascii="仿宋_GB2312" w:hAnsi="仿宋_GB2312" w:eastAsia="仿宋_GB2312" w:cs="仿宋_GB2312"/>
          <w:color w:val="000000" w:themeColor="text1"/>
          <w:sz w:val="32"/>
          <w:szCs w:val="32"/>
          <w14:textFill>
            <w14:solidFill>
              <w14:schemeClr w14:val="tx1"/>
            </w14:solidFill>
          </w14:textFill>
        </w:rPr>
        <w:t>功能性问题整改服务，同时栏目数据更新问题，提供每周电话提醒服务，保障考核硬性指标不失分。</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（2）初评整改与复议。根据省政府办公厅发布的打分初评报告，进行考评结果分析，同时出具整改说明并协助整改，对于扣分项出现异议的，协助提供扣分问题复议说明文档。</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（3）考评结果分析。根据终评的考核打分报告，对失分项进行详细分析，同时出具整改说明并协助整改。</w:t>
      </w:r>
    </w:p>
    <w:p>
      <w:pPr>
        <w:spacing w:line="560" w:lineRule="exact"/>
        <w:ind w:firstLine="642" w:firstLineChars="2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（二）网站与政务新媒体监测服务。</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1、政务新媒体账号监测。</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国办政务新媒体检查指标，对政务新媒体备案系统中已备案的新媒体账号（除哔哩哔哩、微信视频号外）进行常态化监测与人工核验，检查已发布的信息是否存在安全、泄密事故等严重问题，检查各新媒体账号内容更新频率，避免出现“僵尸”、“睡眠”问题，检查是否存在购买“粉丝”、强制要求群众点赞等弄虚作假行为，加强政务新媒体监督管理，有效引导网上舆论，让政务新媒体成为联系群众、服务群众、凝聚群众的重要平台和有效“利器”，工作内容主要包括：</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（1）系统监测。通过系统监测的方式，对已备案的新媒体账号进行全面检查与安全扫描。</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（2）人工复核。扫描完成后，对扫描结果进行人工复核，确保监测结果的准确性和权威性。</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（3）监测报告。结合系统监测及人工复核结果，出具详细的新媒体监测报告，报告内容包含检查结果总览及检查结果详情，同时将检测报告反馈各新媒体账号主办单位整改，5个工作日内完成整改。</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2、委直部门网站错别字、敏感信息扫描。</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季度监测委直部门湖北省临床检验中心、湖北省医学会、湖北省卫生人才网网站中打不开的错链、死链（包括图片、附件、外部链接等）。错误链接定位准确，统计首页和其他页面不可用链接数，以及各自的链接类型的不可用数量，提供不可用链接详细信息，包括链接状态码、状态说明、错链URL地址、错链标题、所在父页、监测时间等信息，方便后期修改。</w:t>
      </w:r>
    </w:p>
    <w:p>
      <w:pPr>
        <w:spacing w:line="560" w:lineRule="exact"/>
        <w:ind w:firstLine="642" w:firstLineChars="2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（三）网站功能改造。</w:t>
      </w:r>
    </w:p>
    <w:p>
      <w:pPr>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按照2024年度政府网站绩效评估指标要求，对委网站进行页面和功能改造。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ZFangSong-Z02S">
    <w:altName w:val="Noto Serif CJK JP"/>
    <w:panose1 w:val="02000000000000000000"/>
    <w:charset w:val="86"/>
    <w:family w:val="auto"/>
    <w:pitch w:val="default"/>
    <w:sig w:usb0="00000000" w:usb1="00000000" w:usb2="00000012" w:usb3="00000000" w:csb0="00040001" w:csb1="00000000"/>
  </w:font>
  <w:font w:name="Noto Serif CJK JP">
    <w:panose1 w:val="02020400000000000000"/>
    <w:charset w:val="86"/>
    <w:family w:val="auto"/>
    <w:pitch w:val="default"/>
    <w:sig w:usb0="30000083" w:usb1="2BDF3C10" w:usb2="00000016" w:usb3="00000000" w:csb0="602E0107"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F0453"/>
    <w:multiLevelType w:val="multilevel"/>
    <w:tmpl w:val="3B3F0453"/>
    <w:lvl w:ilvl="0" w:tentative="0">
      <w:start w:val="1"/>
      <w:numFmt w:val="bullet"/>
      <w:pStyle w:val="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3C05C"/>
    <w:rsid w:val="5D53C05C"/>
    <w:rsid w:val="79FEDC74"/>
    <w:rsid w:val="7E7F717B"/>
    <w:rsid w:val="7EE90D80"/>
    <w:rsid w:val="7F1D9173"/>
    <w:rsid w:val="7F5FA848"/>
    <w:rsid w:val="7FD6FAEE"/>
    <w:rsid w:val="ABFFF564"/>
    <w:rsid w:val="DDFBA22B"/>
    <w:rsid w:val="DF716E69"/>
    <w:rsid w:val="EFEE8DCD"/>
    <w:rsid w:val="FBAB9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customStyle="1" w:styleId="5">
    <w:name w:val="图片"/>
    <w:basedOn w:val="1"/>
    <w:qFormat/>
    <w:uiPriority w:val="0"/>
    <w:pPr>
      <w:numPr>
        <w:ilvl w:val="0"/>
        <w:numId w:val="1"/>
      </w:numPr>
      <w:spacing w:line="240" w:lineRule="auto"/>
      <w:ind w:left="901" w:hanging="420"/>
      <w:jc w:val="center"/>
    </w:pPr>
    <w:rPr>
      <w:rFonts w:hint="eastAsia" w:ascii="FZFangSong-Z02S" w:hAnsi="FZFangSong-Z02S" w:eastAsia="方正仿宋_GB2312" w:cs="方正仿宋_GB2312"/>
      <w:kern w:val="0"/>
      <w:sz w:val="32"/>
      <w:szCs w:val="32"/>
      <w:lang w:bidi="ar"/>
    </w:rPr>
  </w:style>
  <w:style w:type="paragraph" w:customStyle="1" w:styleId="6">
    <w:name w:val="图片1"/>
    <w:qFormat/>
    <w:uiPriority w:val="0"/>
    <w:pPr>
      <w:spacing w:line="240" w:lineRule="auto"/>
      <w:ind w:firstLine="3120" w:firstLineChars="1300"/>
      <w:jc w:val="center"/>
    </w:pPr>
    <w:rPr>
      <w:rFonts w:hint="eastAsia" w:ascii="FZFangSong-Z02S" w:hAnsi="FZFangSong-Z02S" w:eastAsia="方正仿宋_GB2312" w:cs="方正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2024-07-07T14:01:00Z</dcterms:created>
  <dc:creator>晚安</dc:creator>
  <cp:lastModifiedBy>wjw</cp:lastModifiedBy>
  <dcterms:modified xsi:type="dcterms:W3CDTF">2024-08-12T18:37:07Z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BA7EE9AD8119377085A2A96631C30C89_43</vt:lpwstr>
  </property>
</Properties>
</file>