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667EFC">
      <w:pPr>
        <w:rPr>
          <w:rFonts w:hint="eastAsia"/>
          <w:color w:val="auto"/>
        </w:rPr>
      </w:pPr>
      <w:bookmarkStart w:id="0" w:name="_Hlk118323614"/>
    </w:p>
    <w:p w14:paraId="0B9C64D0">
      <w:pPr>
        <w:ind w:left="-630" w:leftChars="-300"/>
        <w:rPr>
          <w:rFonts w:hint="eastAsia"/>
          <w:color w:val="auto"/>
        </w:rPr>
      </w:pPr>
    </w:p>
    <w:p w14:paraId="2722E150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湖北省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疑难重症会诊平台（数智病理中心）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项目</w:t>
      </w:r>
    </w:p>
    <w:p w14:paraId="636C6EA6">
      <w:pPr>
        <w:spacing w:line="600" w:lineRule="exact"/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软件系统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第三方测试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 w:themeColor="text1"/>
          <w:sz w:val="36"/>
          <w:szCs w:val="36"/>
          <w:shd w:val="clear" w:color="auto" w:fill="FFFFFF"/>
          <w14:textFill>
            <w14:solidFill>
              <w14:schemeClr w14:val="tx1"/>
            </w14:solidFill>
          </w14:textFill>
        </w:rPr>
        <w:t>采购需求</w:t>
      </w:r>
    </w:p>
    <w:p w14:paraId="14A4AE03">
      <w:pPr>
        <w:spacing w:line="600" w:lineRule="exact"/>
        <w:ind w:firstLine="562" w:firstLineChars="200"/>
        <w:jc w:val="center"/>
        <w:rPr>
          <w:rFonts w:ascii="仿宋" w:hAnsi="仿宋" w:eastAsia="仿宋"/>
          <w:b/>
          <w:bCs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</w:p>
    <w:p w14:paraId="3582A44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FFFFFF" w:fill="D9D9D9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采购内容</w:t>
      </w:r>
    </w:p>
    <w:tbl>
      <w:tblPr>
        <w:tblStyle w:val="7"/>
        <w:tblpPr w:leftFromText="180" w:rightFromText="180" w:vertAnchor="text" w:horzAnchor="margin" w:tblpXSpec="center" w:tblpY="37"/>
        <w:tblW w:w="8718" w:type="dxa"/>
        <w:jc w:val="center"/>
        <w:tblBorders>
          <w:top w:val="single" w:color="auto" w:sz="8" w:space="0"/>
          <w:left w:val="single" w:color="auto" w:sz="8" w:space="0"/>
          <w:bottom w:val="single" w:color="auto" w:sz="4" w:space="0"/>
          <w:right w:val="single" w:color="auto" w:sz="8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0"/>
        <w:gridCol w:w="5517"/>
        <w:gridCol w:w="1083"/>
        <w:gridCol w:w="938"/>
      </w:tblGrid>
      <w:tr w14:paraId="17793A3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1180" w:type="dxa"/>
            <w:shd w:val="clear" w:color="auto" w:fill="F2F2F2"/>
            <w:vAlign w:val="center"/>
          </w:tcPr>
          <w:p w14:paraId="52B0196F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序号</w:t>
            </w:r>
          </w:p>
        </w:tc>
        <w:tc>
          <w:tcPr>
            <w:tcW w:w="5517" w:type="dxa"/>
            <w:shd w:val="clear" w:color="auto" w:fill="F2F2F2"/>
            <w:vAlign w:val="center"/>
          </w:tcPr>
          <w:p w14:paraId="125DA9DB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名称</w:t>
            </w:r>
          </w:p>
        </w:tc>
        <w:tc>
          <w:tcPr>
            <w:tcW w:w="1083" w:type="dxa"/>
            <w:shd w:val="clear" w:color="auto" w:fill="F2F2F2"/>
            <w:vAlign w:val="center"/>
          </w:tcPr>
          <w:p w14:paraId="01C46031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数量</w:t>
            </w:r>
          </w:p>
        </w:tc>
        <w:tc>
          <w:tcPr>
            <w:tcW w:w="938" w:type="dxa"/>
            <w:shd w:val="clear" w:color="auto" w:fill="F2F2F2"/>
            <w:vAlign w:val="center"/>
          </w:tcPr>
          <w:p w14:paraId="5BB8FFED"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</w:rPr>
              <w:t>单位</w:t>
            </w:r>
          </w:p>
        </w:tc>
      </w:tr>
      <w:tr w14:paraId="28B1CDD0">
        <w:tblPrEx>
          <w:tblBorders>
            <w:top w:val="single" w:color="auto" w:sz="8" w:space="0"/>
            <w:left w:val="single" w:color="auto" w:sz="8" w:space="0"/>
            <w:bottom w:val="single" w:color="auto" w:sz="4" w:space="0"/>
            <w:right w:val="single" w:color="auto" w:sz="8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3" w:hRule="exact"/>
          <w:jc w:val="center"/>
        </w:trPr>
        <w:tc>
          <w:tcPr>
            <w:tcW w:w="1180" w:type="dxa"/>
            <w:shd w:val="clear" w:color="auto" w:fill="auto"/>
            <w:vAlign w:val="center"/>
          </w:tcPr>
          <w:p w14:paraId="3D26F1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5517" w:type="dxa"/>
            <w:shd w:val="clear" w:color="auto" w:fill="auto"/>
            <w:vAlign w:val="center"/>
          </w:tcPr>
          <w:p w14:paraId="065ECD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湖北省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疑难重症会诊平台（数智病理中心）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第三方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软件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测试服务</w:t>
            </w:r>
          </w:p>
        </w:tc>
        <w:tc>
          <w:tcPr>
            <w:tcW w:w="1083" w:type="dxa"/>
            <w:shd w:val="clear" w:color="auto" w:fill="auto"/>
            <w:vAlign w:val="center"/>
          </w:tcPr>
          <w:p w14:paraId="7C4C16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938" w:type="dxa"/>
            <w:shd w:val="clear" w:color="auto" w:fill="auto"/>
            <w:vAlign w:val="center"/>
          </w:tcPr>
          <w:p w14:paraId="204514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4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</w:t>
            </w:r>
          </w:p>
        </w:tc>
      </w:tr>
    </w:tbl>
    <w:p w14:paraId="306E3B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3A666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二、预算金额</w:t>
      </w:r>
    </w:p>
    <w:p w14:paraId="487EA2F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预算金额：7.46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万元。</w:t>
      </w:r>
    </w:p>
    <w:p w14:paraId="099F718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AD61BE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三、供应商资格要求</w:t>
      </w:r>
    </w:p>
    <w:p w14:paraId="603EE5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1. 满足《中华人民共和国政府采购法》第二十二条规定，即：</w:t>
      </w:r>
      <w:bookmarkStart w:id="2" w:name="_GoBack"/>
      <w:bookmarkEnd w:id="2"/>
    </w:p>
    <w:p w14:paraId="79E42B8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（1）具有独立承担民事责任的能力；</w:t>
      </w:r>
    </w:p>
    <w:p w14:paraId="4A78AE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（2）具有良好的商业信誉和健全的财务会计制度；</w:t>
      </w:r>
    </w:p>
    <w:p w14:paraId="5D768F7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（3）具有履行合同所必需的设备和专业技术能力；</w:t>
      </w:r>
    </w:p>
    <w:p w14:paraId="32762D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（4）有依法缴纳税收和社会保障资金的良好记录；</w:t>
      </w:r>
    </w:p>
    <w:p w14:paraId="0652EDD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（5）参加政府采购活动前三年内，在经营活动中没有重大违法记录；</w:t>
      </w:r>
    </w:p>
    <w:p w14:paraId="771D5F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（6）法律、行政法规规定的其他条件。</w:t>
      </w:r>
    </w:p>
    <w:p w14:paraId="54A559D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2. 单位负责人为同一人或者存在直接控股、管理关系的不同投标人，不得参加本项目同一合同项下的政府采购活动。</w:t>
      </w:r>
    </w:p>
    <w:p w14:paraId="5E0CA50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3. 供应商具有中国合格评定国家认可委员会颁发的CNAS资质或检验检测机构CMA资质。</w:t>
      </w:r>
    </w:p>
    <w:p w14:paraId="24F0DF2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4、应未被列入失信被执行人、重大税收违法案件当事人名单，未被列入政府采购严重违法失信行为记录名单。</w:t>
      </w:r>
    </w:p>
    <w:p w14:paraId="664F41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5、本项目的特定资格要求：不接受联合体投标。</w:t>
      </w:r>
    </w:p>
    <w:p w14:paraId="4F856C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5766BDF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四、服务周期</w:t>
      </w:r>
    </w:p>
    <w:p w14:paraId="2543F5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1、交付时间：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确定成交供应商，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自合同签订之日起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至完成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测试，出具测试报告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shd w:val="clear" w:color="auto" w:fill="FFFFFF"/>
          <w14:textFill>
            <w14:solidFill>
              <w14:schemeClr w14:val="tx1"/>
            </w14:solidFill>
          </w14:textFill>
        </w:rPr>
        <w:t>。</w:t>
      </w:r>
    </w:p>
    <w:p w14:paraId="14F96D85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2、交付地点：采购人指定地点</w:t>
      </w:r>
    </w:p>
    <w:p w14:paraId="45763E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07DA898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五、服务内容及范围</w:t>
      </w:r>
    </w:p>
    <w:p w14:paraId="4043C6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bookmarkStart w:id="1" w:name="_Hlk118323713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1、项目概况</w:t>
      </w:r>
    </w:p>
    <w:p w14:paraId="465330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根据《湖北省数智化病理服务体系建设方案》《湖北省数智化病理服务体系建设试点扩面工作方案》，构筑一张覆盖全省、高效协同的医疗健康服务网，打造省统筹疑难重症远程会诊平台及数智病理服务中心。</w:t>
      </w:r>
    </w:p>
    <w:p w14:paraId="53DF5F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2、服务内容</w:t>
      </w:r>
    </w:p>
    <w:p w14:paraId="29172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依据软件测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方案及国家有关软件质量检测标准开展软件测试工作，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对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湖北省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疑难重症会诊平台（数智病理中心）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eastAsia="zh-CN"/>
        </w:rPr>
        <w:t>项目软件系统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从功能性进行测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，及时准确报告测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试</w:t>
      </w:r>
      <w:r>
        <w:rPr>
          <w:rFonts w:hint="eastAsia" w:ascii="仿宋_GB2312" w:hAnsi="仿宋_GB2312" w:eastAsia="仿宋_GB2312" w:cs="仿宋_GB2312"/>
          <w:sz w:val="32"/>
          <w:szCs w:val="32"/>
        </w:rPr>
        <w:t>期间发现的问题，并协助进行问题确认及修复验证，实现对应用系统改造的质量提升，实现项目的合格验收。</w:t>
      </w:r>
    </w:p>
    <w:p w14:paraId="78125EED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功能性测试。</w:t>
      </w:r>
      <w:r>
        <w:rPr>
          <w:rFonts w:hint="eastAsia" w:ascii="仿宋_GB2312" w:hAnsi="仿宋_GB2312" w:eastAsia="仿宋_GB2312" w:cs="仿宋_GB2312"/>
          <w:sz w:val="32"/>
          <w:szCs w:val="32"/>
        </w:rPr>
        <w:t>功能性测试包括功能点测试和业务流程测试，主要测试应用系统改造是否逐项满足了业务需求，具体测试内容包括：1）功能符合性测试：逐项测试应用系统的功能是否满足业务需求；2）功能准确性测试：测试功能的结果是否正确，符合要求；3）测试要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确保系统需求规格说明书中的功能均被实现，没有遗漏的情况发生。</w:t>
      </w:r>
    </w:p>
    <w:p w14:paraId="5A11E69B"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</w:rPr>
        <w:t>成果要求。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针对项目总体情况和测试工作要求，制定整体测试工作方案；根据测试范围设计科学合理有效的测试用例及测试脚本，并对测试用例和脚本统一管理，要求测试用例具有可重复性、有组织性、可回溯性和可操作性；对测试过程中发现的各类问题进行详细记录，并通过规范的缺陷管理工具管理测试过程发现的问题，并最终形成完整的项目缺陷报告；针对系统存在的缺陷，提出具体的修改建议，包括功能改进建议、性能优化建议、安全加固建议等；最终向采购人提交有CMA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或者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CNAS</w:t>
      </w:r>
      <w:r>
        <w:rPr>
          <w:rFonts w:hint="eastAsia" w:ascii="仿宋_GB2312" w:hAnsi="仿宋_GB2312" w:eastAsia="仿宋_GB2312" w:cs="仿宋_GB2312"/>
          <w:sz w:val="32"/>
          <w:szCs w:val="32"/>
        </w:rPr>
        <w:t>盖章的第三方软件测试报告。</w:t>
      </w:r>
      <w:bookmarkEnd w:id="1"/>
    </w:p>
    <w:p w14:paraId="6D8AA16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</w:p>
    <w:p w14:paraId="4DC3D0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3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六、其他事项</w:t>
      </w:r>
    </w:p>
    <w:p w14:paraId="7FA5E6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outlineLvl w:val="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 报价要求。</w:t>
      </w:r>
      <w:r>
        <w:rPr>
          <w:rFonts w:hint="eastAsia" w:ascii="仿宋_GB2312" w:hAnsi="仿宋_GB2312" w:eastAsia="仿宋_GB2312" w:cs="仿宋_GB2312"/>
          <w:sz w:val="32"/>
          <w:szCs w:val="32"/>
        </w:rPr>
        <w:t>投标人的报价应包含为完成本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服务等全部相关工作所有可能发生的费用，即投标总报价为“交钥匙”价。对在合同实施过程中可能发生的其他费用，采购人概不负责。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报价上限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不得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高于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7.46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万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5369D3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2. </w:t>
      </w:r>
      <w:r>
        <w:rPr>
          <w:rFonts w:hint="eastAsia" w:ascii="仿宋_GB2312" w:hAnsi="仿宋_GB2312" w:eastAsia="仿宋_GB2312" w:cs="仿宋_GB2312"/>
          <w:sz w:val="32"/>
          <w:szCs w:val="32"/>
        </w:rPr>
        <w:t>付款方式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。确定成交供应商并签订合同后，成交供应商提供正规发票，采购人于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7个工作日内支付合同总价60%的款项；服务内容完成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按国家规范要求出具软件第三方测评报告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并将项目所有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资料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以书面装订成册、盖章和电子版方式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14:textFill>
            <w14:solidFill>
              <w14:schemeClr w14:val="tx1"/>
            </w14:solidFill>
          </w14:textFill>
        </w:rPr>
        <w:t>向采购人提交。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shd w:val="clear" w:color="auto" w:fill="FFFFFF"/>
          <w:lang w:eastAsia="zh-CN"/>
          <w14:textFill>
            <w14:solidFill>
              <w14:schemeClr w14:val="tx1"/>
            </w14:solidFill>
          </w14:textFill>
        </w:rPr>
        <w:t>采购人组织验收，验收合格</w:t>
      </w:r>
      <w:r>
        <w:rPr>
          <w:rFonts w:hint="eastAsia" w:ascii="仿宋_GB2312" w:hAnsi="仿宋_GB2312" w:eastAsia="仿宋_GB2312" w:cs="仿宋_GB2312"/>
          <w:sz w:val="32"/>
          <w:szCs w:val="32"/>
        </w:rPr>
        <w:t>后，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供应商提供正规发票，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个工作日内向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指定账户支付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合同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总价40</w:t>
      </w:r>
      <w:r>
        <w:rPr>
          <w:rFonts w:hint="eastAsia" w:ascii="仿宋_GB2312" w:hAnsi="仿宋_GB2312" w:eastAsia="仿宋_GB2312" w:cs="仿宋_GB2312"/>
          <w:sz w:val="32"/>
          <w:szCs w:val="32"/>
        </w:rPr>
        <w:t>%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的款项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012B2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3. 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本项目服务不得转包、分包。</w:t>
      </w:r>
    </w:p>
    <w:p w14:paraId="735D4C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textAlignment w:val="auto"/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4. </w:t>
      </w:r>
      <w:r>
        <w:rPr>
          <w:rFonts w:hint="eastAsia" w:ascii="仿宋_GB2312" w:hAnsi="仿宋_GB2312" w:eastAsia="仿宋_GB2312" w:cs="仿宋_GB2312"/>
          <w:sz w:val="32"/>
          <w:szCs w:val="32"/>
        </w:rPr>
        <w:t>保密要求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在服务过程中应按照国家保密的有关规定和标准履行保密义务。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文件及项目实施过程中产生的所有文档，未经采购人许可，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不得将相关内容泄露给第三方，否则，采购人保留追究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经济和法律责任的权利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    </w:t>
      </w:r>
    </w:p>
    <w:p w14:paraId="693D82E0">
      <w:pPr>
        <w:spacing w:line="600" w:lineRule="exact"/>
        <w:ind w:firstLine="560" w:firstLineChars="200"/>
        <w:jc w:val="left"/>
        <w:outlineLvl w:val="1"/>
        <w:rPr>
          <w:rFonts w:ascii="仿宋" w:hAnsi="仿宋" w:eastAsia="仿宋"/>
          <w:sz w:val="28"/>
          <w:szCs w:val="28"/>
        </w:rPr>
      </w:pPr>
      <w:r>
        <w:rPr>
          <w:rFonts w:ascii="仿宋" w:hAnsi="仿宋" w:eastAsia="仿宋"/>
          <w:color w:val="000000" w:themeColor="text1"/>
          <w:sz w:val="28"/>
          <w:szCs w:val="28"/>
          <w:shd w:val="clear" w:color="auto" w:fill="FFFFFF"/>
          <w14:textFill>
            <w14:solidFill>
              <w14:schemeClr w14:val="tx1"/>
            </w14:solidFill>
          </w14:textFill>
        </w:rPr>
        <w:t xml:space="preserve">                               </w:t>
      </w:r>
      <w:r>
        <w:rPr>
          <w:rFonts w:ascii="仿宋" w:hAnsi="仿宋" w:eastAsia="仿宋"/>
          <w:sz w:val="28"/>
          <w:szCs w:val="28"/>
        </w:rPr>
        <w:tab/>
      </w:r>
      <w:r>
        <w:rPr>
          <w:rFonts w:ascii="仿宋" w:hAnsi="仿宋" w:eastAsia="仿宋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</w:t>
      </w:r>
    </w:p>
    <w:sectPr>
      <w:footerReference r:id="rId5" w:type="default"/>
      <w:pgSz w:w="12240" w:h="15840"/>
      <w:pgMar w:top="1440" w:right="1800" w:bottom="1440" w:left="1800" w:header="720" w:footer="720" w:gutter="0"/>
      <w:pgNumType w:fmt="numberInDash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0A3FB1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E7A40">
                          <w:pPr>
                            <w:pStyle w:val="5"/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E7A40">
                    <w:pPr>
                      <w:pStyle w:val="5"/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17332B"/>
    <w:multiLevelType w:val="singleLevel"/>
    <w:tmpl w:val="9F17332B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k5ODM0YmMxOWJiYWQyNDU4MGIzYWRmYTA0ZmI5NDcifQ=="/>
  </w:docVars>
  <w:rsids>
    <w:rsidRoot w:val="000E5F37"/>
    <w:rsid w:val="000A1F38"/>
    <w:rsid w:val="000E5F37"/>
    <w:rsid w:val="002119DD"/>
    <w:rsid w:val="003469C6"/>
    <w:rsid w:val="00554421"/>
    <w:rsid w:val="00577A5B"/>
    <w:rsid w:val="006A06B1"/>
    <w:rsid w:val="00770124"/>
    <w:rsid w:val="00975EC2"/>
    <w:rsid w:val="00987B79"/>
    <w:rsid w:val="00A63D26"/>
    <w:rsid w:val="00BA6FF9"/>
    <w:rsid w:val="00BE271C"/>
    <w:rsid w:val="00BF7B77"/>
    <w:rsid w:val="00C53B1C"/>
    <w:rsid w:val="00C74415"/>
    <w:rsid w:val="00D36579"/>
    <w:rsid w:val="00E434E5"/>
    <w:rsid w:val="00FC76DA"/>
    <w:rsid w:val="037E2374"/>
    <w:rsid w:val="08C01FAE"/>
    <w:rsid w:val="26345F4E"/>
    <w:rsid w:val="3B3F5D44"/>
    <w:rsid w:val="3F4ECB02"/>
    <w:rsid w:val="411A740E"/>
    <w:rsid w:val="4F105D44"/>
    <w:rsid w:val="542C1337"/>
    <w:rsid w:val="56A04E17"/>
    <w:rsid w:val="56A4153C"/>
    <w:rsid w:val="5B7A37D6"/>
    <w:rsid w:val="5D09643A"/>
    <w:rsid w:val="5DDF093F"/>
    <w:rsid w:val="629B6D60"/>
    <w:rsid w:val="6658E9AA"/>
    <w:rsid w:val="6B7FF796"/>
    <w:rsid w:val="6BCF43F2"/>
    <w:rsid w:val="76DF4B6A"/>
    <w:rsid w:val="773E59EE"/>
    <w:rsid w:val="781E5F83"/>
    <w:rsid w:val="7BBDDFD4"/>
    <w:rsid w:val="7BBF6BA2"/>
    <w:rsid w:val="7ED7E904"/>
    <w:rsid w:val="87DFB78B"/>
    <w:rsid w:val="ABBBBE72"/>
    <w:rsid w:val="BE7EA55E"/>
    <w:rsid w:val="DBF3B61C"/>
    <w:rsid w:val="F5E22250"/>
    <w:rsid w:val="F5FF8672"/>
    <w:rsid w:val="F9BD2990"/>
    <w:rsid w:val="FBFD3773"/>
    <w:rsid w:val="FDAC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/>
      <w:spacing w:before="480" w:beforeLines="0" w:after="360" w:afterLines="0" w:line="240" w:lineRule="atLeast"/>
      <w:ind w:firstLine="0"/>
      <w:jc w:val="left"/>
      <w:textAlignment w:val="auto"/>
      <w:outlineLvl w:val="1"/>
    </w:pPr>
    <w:rPr>
      <w:rFonts w:ascii="黑体" w:eastAsia="黑体"/>
      <w:b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adjustRightInd/>
      <w:spacing w:after="120" w:afterLines="0" w:line="240" w:lineRule="auto"/>
      <w:ind w:firstLine="0"/>
      <w:textAlignment w:val="auto"/>
    </w:pPr>
    <w:rPr>
      <w:rFonts w:ascii="宋体"/>
    </w:rPr>
  </w:style>
  <w:style w:type="paragraph" w:styleId="4">
    <w:name w:val="Date"/>
    <w:basedOn w:val="1"/>
    <w:next w:val="1"/>
    <w:qFormat/>
    <w:uiPriority w:val="0"/>
    <w:pPr>
      <w:adjustRightInd w:val="0"/>
      <w:spacing w:line="312" w:lineRule="atLeast"/>
      <w:jc w:val="right"/>
      <w:textAlignment w:val="baseline"/>
    </w:pPr>
    <w:rPr>
      <w:kern w:val="0"/>
      <w:sz w:val="32"/>
      <w:szCs w:val="20"/>
    </w:rPr>
  </w:style>
  <w:style w:type="paragraph" w:styleId="5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39"/>
    <w:pPr>
      <w:spacing w:after="0" w:line="240" w:lineRule="auto"/>
    </w:pPr>
    <w:rPr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paragraph" w:customStyle="1" w:styleId="11">
    <w:name w:val="List Paragraph1"/>
    <w:basedOn w:val="1"/>
    <w:qFormat/>
    <w:uiPriority w:val="99"/>
    <w:pPr>
      <w:ind w:left="720"/>
      <w:contextualSpacing/>
    </w:pPr>
    <w:rPr>
      <w:rFonts w:ascii="Calibri" w:hAnsi="Calibri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1507</Words>
  <Characters>1536</Characters>
  <Lines>12</Lines>
  <Paragraphs>3</Paragraphs>
  <TotalTime>11</TotalTime>
  <ScaleCrop>false</ScaleCrop>
  <LinksUpToDate>false</LinksUpToDate>
  <CharactersWithSpaces>1777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2022-02-10T20:02:00Z</dcterms:created>
  <dc:creator>Yan jaytn</dc:creator>
  <cp:lastModifiedBy>刘子陵</cp:lastModifiedBy>
  <cp:lastPrinted>2024-11-26T06:20:14Z</cp:lastPrinted>
  <dcterms:modified xsi:type="dcterms:W3CDTF">2024-11-26T06:22:35Z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1EFEAB1A67094FDD916349FB4E851E7D_13</vt:lpwstr>
  </property>
</Properties>
</file>