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省卫健委直属机关工会2024年职工福利评分标准</w:t>
      </w:r>
    </w:p>
    <w:tbl>
      <w:tblPr>
        <w:tblStyle w:val="7"/>
        <w:tblW w:w="13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164"/>
        <w:gridCol w:w="8827"/>
        <w:gridCol w:w="990"/>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0" w:type="dxa"/>
            <w:vAlign w:val="center"/>
          </w:tcPr>
          <w:p>
            <w:pPr>
              <w:widowControl/>
              <w:spacing w:line="380" w:lineRule="exact"/>
              <w:jc w:val="center"/>
              <w:textAlignment w:val="center"/>
              <w:rPr>
                <w:rFonts w:ascii="宋体" w:hAnsi="宋体" w:cs="宋体"/>
                <w:b/>
                <w:bCs/>
                <w:kern w:val="0"/>
                <w:szCs w:val="21"/>
              </w:rPr>
            </w:pPr>
            <w:r>
              <w:rPr>
                <w:rFonts w:hint="eastAsia" w:ascii="宋体" w:hAnsi="宋体" w:cs="宋体"/>
                <w:b/>
                <w:bCs/>
                <w:kern w:val="0"/>
                <w:szCs w:val="21"/>
              </w:rPr>
              <w:t>项目</w:t>
            </w:r>
          </w:p>
        </w:tc>
        <w:tc>
          <w:tcPr>
            <w:tcW w:w="1164" w:type="dxa"/>
            <w:vAlign w:val="center"/>
          </w:tcPr>
          <w:p>
            <w:pPr>
              <w:widowControl/>
              <w:spacing w:line="380" w:lineRule="exact"/>
              <w:jc w:val="center"/>
              <w:textAlignment w:val="center"/>
              <w:rPr>
                <w:rFonts w:ascii="宋体" w:hAnsi="宋体" w:cs="宋体"/>
                <w:b/>
                <w:bCs/>
                <w:kern w:val="0"/>
                <w:szCs w:val="21"/>
              </w:rPr>
            </w:pPr>
            <w:r>
              <w:rPr>
                <w:rFonts w:hint="eastAsia" w:ascii="宋体" w:hAnsi="宋体" w:cs="宋体"/>
                <w:b/>
                <w:bCs/>
                <w:kern w:val="0"/>
                <w:szCs w:val="21"/>
              </w:rPr>
              <w:t>评审因素</w:t>
            </w:r>
          </w:p>
        </w:tc>
        <w:tc>
          <w:tcPr>
            <w:tcW w:w="8827" w:type="dxa"/>
            <w:vAlign w:val="center"/>
          </w:tcPr>
          <w:p>
            <w:pPr>
              <w:widowControl/>
              <w:spacing w:line="380" w:lineRule="exact"/>
              <w:jc w:val="center"/>
              <w:textAlignment w:val="center"/>
              <w:rPr>
                <w:rFonts w:ascii="宋体" w:hAnsi="宋体" w:cs="宋体"/>
                <w:b/>
                <w:bCs/>
                <w:kern w:val="0"/>
                <w:szCs w:val="21"/>
              </w:rPr>
            </w:pPr>
            <w:r>
              <w:rPr>
                <w:rFonts w:hint="eastAsia" w:ascii="宋体" w:hAnsi="宋体" w:cs="宋体"/>
                <w:b/>
                <w:bCs/>
                <w:kern w:val="0"/>
                <w:szCs w:val="21"/>
              </w:rPr>
              <w:t>评分标准及分值</w:t>
            </w:r>
          </w:p>
        </w:tc>
        <w:tc>
          <w:tcPr>
            <w:tcW w:w="990" w:type="dxa"/>
            <w:vAlign w:val="center"/>
          </w:tcPr>
          <w:p>
            <w:pPr>
              <w:widowControl/>
              <w:spacing w:line="380" w:lineRule="exact"/>
              <w:jc w:val="center"/>
              <w:textAlignment w:val="center"/>
              <w:rPr>
                <w:rFonts w:ascii="宋体" w:hAnsi="宋体" w:cs="宋体"/>
                <w:b/>
                <w:bCs/>
                <w:kern w:val="0"/>
                <w:szCs w:val="21"/>
              </w:rPr>
            </w:pPr>
            <w:r>
              <w:rPr>
                <w:rFonts w:hint="eastAsia" w:ascii="宋体" w:hAnsi="宋体" w:cs="宋体"/>
                <w:b/>
                <w:bCs/>
                <w:kern w:val="0"/>
                <w:szCs w:val="21"/>
              </w:rPr>
              <w:t>分值</w:t>
            </w:r>
          </w:p>
        </w:tc>
        <w:tc>
          <w:tcPr>
            <w:tcW w:w="1143" w:type="dxa"/>
            <w:vAlign w:val="center"/>
          </w:tcPr>
          <w:p>
            <w:pPr>
              <w:widowControl/>
              <w:spacing w:line="380" w:lineRule="exact"/>
              <w:jc w:val="center"/>
              <w:textAlignment w:val="center"/>
              <w:rPr>
                <w:rFonts w:ascii="宋体" w:hAnsi="宋体" w:cs="宋体"/>
                <w:b/>
                <w:bCs/>
                <w:kern w:val="0"/>
                <w:szCs w:val="21"/>
              </w:rPr>
            </w:pPr>
            <w:r>
              <w:rPr>
                <w:rFonts w:hint="eastAsia" w:ascii="宋体" w:hAnsi="宋体" w:cs="宋体"/>
                <w:b/>
                <w:bCs/>
                <w:kern w:val="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0" w:type="dxa"/>
            <w:vAlign w:val="center"/>
          </w:tcPr>
          <w:p>
            <w:pPr>
              <w:spacing w:line="360" w:lineRule="exact"/>
              <w:rPr>
                <w:rFonts w:ascii="宋体" w:hAnsi="宋体" w:cs="宋体"/>
                <w:szCs w:val="21"/>
              </w:rPr>
            </w:pPr>
            <w:r>
              <w:rPr>
                <w:rFonts w:hint="eastAsia" w:ascii="宋体" w:hAnsi="宋体" w:cs="宋体"/>
                <w:b/>
                <w:bCs/>
                <w:szCs w:val="21"/>
              </w:rPr>
              <w:t>价格部分（30分）</w:t>
            </w:r>
          </w:p>
        </w:tc>
        <w:tc>
          <w:tcPr>
            <w:tcW w:w="1164" w:type="dxa"/>
            <w:vAlign w:val="center"/>
          </w:tcPr>
          <w:p>
            <w:pPr>
              <w:spacing w:line="360" w:lineRule="exact"/>
              <w:rPr>
                <w:rFonts w:ascii="宋体" w:hAnsi="宋体" w:cs="宋体"/>
                <w:szCs w:val="21"/>
              </w:rPr>
            </w:pPr>
            <w:r>
              <w:rPr>
                <w:rFonts w:hint="eastAsia" w:ascii="宋体" w:hAnsi="宋体" w:cs="宋体"/>
                <w:szCs w:val="21"/>
              </w:rPr>
              <w:t>磋商报价</w:t>
            </w:r>
          </w:p>
        </w:tc>
        <w:tc>
          <w:tcPr>
            <w:tcW w:w="8827" w:type="dxa"/>
            <w:vAlign w:val="center"/>
          </w:tcPr>
          <w:p>
            <w:pPr>
              <w:spacing w:line="360" w:lineRule="exact"/>
              <w:rPr>
                <w:rFonts w:ascii="宋体" w:hAnsi="宋体" w:cs="宋体"/>
                <w:szCs w:val="21"/>
              </w:rPr>
            </w:pPr>
            <w:r>
              <w:rPr>
                <w:rFonts w:hint="eastAsia" w:ascii="宋体" w:hAnsi="宋体" w:cs="宋体"/>
                <w:szCs w:val="21"/>
              </w:rPr>
              <w:t>满足磋商文件要求且按照单人份提货券总面值进行报价，报价采用高价优先法计算，即满足磋商采购文件要求且最终报价最高的磋商报价为磋商基准价，其报价分为40分。</w:t>
            </w:r>
          </w:p>
          <w:p>
            <w:pPr>
              <w:spacing w:line="360" w:lineRule="exact"/>
              <w:rPr>
                <w:rFonts w:ascii="宋体" w:hAnsi="宋体" w:cs="宋体"/>
                <w:szCs w:val="21"/>
              </w:rPr>
            </w:pPr>
            <w:r>
              <w:rPr>
                <w:rFonts w:hint="eastAsia" w:ascii="宋体" w:hAnsi="宋体" w:cs="宋体"/>
                <w:szCs w:val="21"/>
              </w:rPr>
              <w:t>其他供应商的报价分统一按照下列公式计算：磋商报价得分＝（磋商报价/磋商基准价）×40。</w:t>
            </w:r>
          </w:p>
        </w:tc>
        <w:tc>
          <w:tcPr>
            <w:tcW w:w="990" w:type="dxa"/>
            <w:vAlign w:val="center"/>
          </w:tcPr>
          <w:p>
            <w:pPr>
              <w:spacing w:line="360" w:lineRule="exact"/>
              <w:jc w:val="center"/>
              <w:rPr>
                <w:rFonts w:ascii="宋体" w:hAnsi="宋体" w:cs="宋体"/>
                <w:szCs w:val="21"/>
              </w:rPr>
            </w:pPr>
            <w:r>
              <w:rPr>
                <w:rFonts w:hint="eastAsia" w:ascii="宋体" w:hAnsi="宋体" w:cs="宋体"/>
                <w:szCs w:val="21"/>
              </w:rPr>
              <w:t>30</w:t>
            </w:r>
          </w:p>
        </w:tc>
        <w:tc>
          <w:tcPr>
            <w:tcW w:w="1143" w:type="dxa"/>
            <w:vAlign w:val="center"/>
          </w:tcPr>
          <w:p>
            <w:pPr>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30" w:type="dxa"/>
            <w:vMerge w:val="restart"/>
            <w:vAlign w:val="center"/>
          </w:tcPr>
          <w:p>
            <w:pPr>
              <w:pStyle w:val="4"/>
              <w:spacing w:line="360" w:lineRule="exact"/>
              <w:rPr>
                <w:rFonts w:hint="eastAsia" w:ascii="宋体" w:hAnsi="宋体" w:cs="宋体"/>
                <w:szCs w:val="21"/>
              </w:rPr>
            </w:pPr>
            <w:r>
              <w:rPr>
                <w:rFonts w:hint="eastAsia" w:ascii="宋体" w:hAnsi="宋体" w:eastAsia="宋体" w:cs="宋体"/>
                <w:b/>
                <w:bCs/>
                <w:kern w:val="2"/>
                <w:sz w:val="21"/>
                <w:szCs w:val="21"/>
                <w:lang w:val="en-US" w:eastAsia="zh-CN" w:bidi="ar-SA"/>
              </w:rPr>
              <w:t>商务部分（20分）</w:t>
            </w:r>
          </w:p>
        </w:tc>
        <w:tc>
          <w:tcPr>
            <w:tcW w:w="1164" w:type="dxa"/>
            <w:vAlign w:val="center"/>
          </w:tcPr>
          <w:p>
            <w:pPr>
              <w:pStyle w:val="4"/>
              <w:spacing w:line="360" w:lineRule="exact"/>
              <w:rPr>
                <w:rFonts w:hint="eastAsia" w:ascii="宋体" w:hAnsi="宋体" w:cs="宋体"/>
                <w:szCs w:val="21"/>
              </w:rPr>
            </w:pPr>
            <w:r>
              <w:rPr>
                <w:rFonts w:hint="eastAsia" w:ascii="宋体" w:hAnsi="宋体" w:cs="宋体"/>
                <w:szCs w:val="21"/>
              </w:rPr>
              <w:t>企业业绩</w:t>
            </w:r>
          </w:p>
        </w:tc>
        <w:tc>
          <w:tcPr>
            <w:tcW w:w="8827" w:type="dxa"/>
            <w:vAlign w:val="center"/>
          </w:tcPr>
          <w:p>
            <w:pPr>
              <w:pStyle w:val="4"/>
              <w:spacing w:line="360" w:lineRule="exact"/>
              <w:rPr>
                <w:rFonts w:hint="eastAsia" w:ascii="宋体" w:hAnsi="宋体" w:cs="宋体"/>
                <w:szCs w:val="21"/>
              </w:rPr>
            </w:pPr>
            <w:r>
              <w:rPr>
                <w:rFonts w:hint="eastAsia" w:ascii="宋体" w:hAnsi="宋体" w:cs="宋体"/>
                <w:szCs w:val="21"/>
              </w:rPr>
              <w:t>供应商提供2021年1月1日至今承担过类似项目的，每提供一份得1分，最高得10分。</w:t>
            </w:r>
          </w:p>
          <w:p>
            <w:pPr>
              <w:pStyle w:val="4"/>
              <w:spacing w:line="360" w:lineRule="exact"/>
              <w:rPr>
                <w:rFonts w:hint="eastAsia" w:ascii="宋体" w:hAnsi="宋体" w:cs="宋体"/>
                <w:szCs w:val="21"/>
              </w:rPr>
            </w:pPr>
            <w:r>
              <w:rPr>
                <w:rFonts w:hint="eastAsia" w:ascii="宋体" w:hAnsi="宋体" w:cs="宋体"/>
                <w:szCs w:val="21"/>
              </w:rPr>
              <w:t xml:space="preserve">（证明材料：提供合同复印件，并加盖公章） </w:t>
            </w:r>
          </w:p>
        </w:tc>
        <w:tc>
          <w:tcPr>
            <w:tcW w:w="990" w:type="dxa"/>
            <w:vAlign w:val="center"/>
          </w:tcPr>
          <w:p>
            <w:pPr>
              <w:pStyle w:val="4"/>
              <w:spacing w:line="360" w:lineRule="exact"/>
              <w:jc w:val="center"/>
              <w:rPr>
                <w:rFonts w:hint="eastAsia" w:ascii="宋体" w:hAnsi="宋体" w:cs="宋体"/>
                <w:szCs w:val="21"/>
              </w:rPr>
            </w:pPr>
            <w:r>
              <w:rPr>
                <w:rFonts w:hint="eastAsia" w:ascii="宋体" w:hAnsi="宋体" w:cs="宋体"/>
                <w:szCs w:val="21"/>
              </w:rPr>
              <w:t>10</w:t>
            </w:r>
          </w:p>
        </w:tc>
        <w:tc>
          <w:tcPr>
            <w:tcW w:w="1143" w:type="dxa"/>
            <w:vAlign w:val="center"/>
          </w:tcPr>
          <w:p>
            <w:pPr>
              <w:tabs>
                <w:tab w:val="left" w:pos="351"/>
                <w:tab w:val="left" w:pos="816"/>
              </w:tabs>
              <w:autoSpaceDE w:val="0"/>
              <w:autoSpaceDN w:val="0"/>
              <w:spacing w:line="3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330" w:type="dxa"/>
            <w:vMerge w:val="continue"/>
            <w:vAlign w:val="center"/>
          </w:tcPr>
          <w:p>
            <w:pPr>
              <w:pStyle w:val="4"/>
              <w:spacing w:line="360" w:lineRule="exact"/>
              <w:rPr>
                <w:rFonts w:hint="eastAsia" w:ascii="宋体" w:hAnsi="宋体" w:cs="宋体"/>
                <w:szCs w:val="21"/>
              </w:rPr>
            </w:pPr>
          </w:p>
        </w:tc>
        <w:tc>
          <w:tcPr>
            <w:tcW w:w="1164" w:type="dxa"/>
            <w:vAlign w:val="center"/>
          </w:tcPr>
          <w:p>
            <w:pPr>
              <w:pStyle w:val="4"/>
              <w:spacing w:line="360" w:lineRule="exact"/>
              <w:rPr>
                <w:rFonts w:hint="eastAsia" w:ascii="宋体" w:hAnsi="宋体" w:cs="宋体"/>
                <w:szCs w:val="21"/>
              </w:rPr>
            </w:pPr>
            <w:r>
              <w:rPr>
                <w:rFonts w:hint="eastAsia" w:ascii="宋体" w:hAnsi="宋体" w:cs="宋体"/>
                <w:szCs w:val="21"/>
              </w:rPr>
              <w:t>客户评价</w:t>
            </w:r>
          </w:p>
        </w:tc>
        <w:tc>
          <w:tcPr>
            <w:tcW w:w="8827" w:type="dxa"/>
            <w:vAlign w:val="center"/>
          </w:tcPr>
          <w:p>
            <w:pPr>
              <w:pStyle w:val="4"/>
              <w:spacing w:line="360" w:lineRule="exact"/>
              <w:rPr>
                <w:rFonts w:hint="eastAsia" w:ascii="宋体" w:hAnsi="宋体" w:cs="宋体"/>
                <w:szCs w:val="21"/>
              </w:rPr>
            </w:pPr>
            <w:r>
              <w:rPr>
                <w:rFonts w:hint="eastAsia" w:ascii="宋体" w:hAnsi="宋体" w:cs="宋体"/>
                <w:szCs w:val="21"/>
              </w:rPr>
              <w:t>投标人自2020年1月1日至今承接类似项目获得业主满意评价或感谢信的，每个得1分，最高得5分。（提供经用户盖章确认的相关证明材料，且用户评价和类似业绩一一对应才能得分。）</w:t>
            </w:r>
          </w:p>
        </w:tc>
        <w:tc>
          <w:tcPr>
            <w:tcW w:w="990" w:type="dxa"/>
            <w:vAlign w:val="center"/>
          </w:tcPr>
          <w:p>
            <w:pPr>
              <w:pStyle w:val="4"/>
              <w:spacing w:line="360" w:lineRule="exact"/>
              <w:jc w:val="center"/>
              <w:rPr>
                <w:rFonts w:hint="eastAsia" w:ascii="宋体" w:hAnsi="宋体" w:cs="宋体"/>
                <w:szCs w:val="21"/>
              </w:rPr>
            </w:pPr>
            <w:r>
              <w:rPr>
                <w:rFonts w:hint="eastAsia" w:ascii="宋体" w:hAnsi="宋体" w:cs="宋体"/>
                <w:szCs w:val="21"/>
              </w:rPr>
              <w:t>5</w:t>
            </w:r>
          </w:p>
        </w:tc>
        <w:tc>
          <w:tcPr>
            <w:tcW w:w="1143" w:type="dxa"/>
            <w:vAlign w:val="center"/>
          </w:tcPr>
          <w:p>
            <w:pPr>
              <w:pStyle w:val="4"/>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30" w:type="dxa"/>
            <w:vMerge w:val="continue"/>
            <w:vAlign w:val="center"/>
          </w:tcPr>
          <w:p>
            <w:pPr>
              <w:pStyle w:val="4"/>
              <w:spacing w:line="360" w:lineRule="exact"/>
              <w:rPr>
                <w:rFonts w:hint="eastAsia" w:ascii="宋体" w:hAnsi="宋体" w:cs="宋体"/>
                <w:szCs w:val="21"/>
              </w:rPr>
            </w:pPr>
          </w:p>
        </w:tc>
        <w:tc>
          <w:tcPr>
            <w:tcW w:w="1164" w:type="dxa"/>
            <w:vAlign w:val="center"/>
          </w:tcPr>
          <w:p>
            <w:pPr>
              <w:pStyle w:val="4"/>
              <w:spacing w:line="360" w:lineRule="exact"/>
              <w:rPr>
                <w:rFonts w:hint="eastAsia" w:ascii="宋体" w:hAnsi="宋体" w:cs="宋体"/>
                <w:szCs w:val="21"/>
              </w:rPr>
            </w:pPr>
            <w:r>
              <w:rPr>
                <w:rFonts w:hint="eastAsia" w:ascii="宋体" w:hAnsi="宋体" w:cs="宋体"/>
                <w:szCs w:val="21"/>
              </w:rPr>
              <w:t>体系认证</w:t>
            </w:r>
          </w:p>
        </w:tc>
        <w:tc>
          <w:tcPr>
            <w:tcW w:w="8827" w:type="dxa"/>
            <w:vAlign w:val="center"/>
          </w:tcPr>
          <w:p>
            <w:pPr>
              <w:pStyle w:val="4"/>
              <w:spacing w:line="360" w:lineRule="exact"/>
              <w:rPr>
                <w:rFonts w:hint="eastAsia" w:ascii="宋体" w:hAnsi="宋体" w:cs="宋体"/>
                <w:szCs w:val="21"/>
              </w:rPr>
            </w:pPr>
            <w:r>
              <w:rPr>
                <w:rFonts w:hint="eastAsia" w:ascii="宋体" w:hAnsi="宋体" w:cs="宋体"/>
                <w:szCs w:val="21"/>
              </w:rPr>
              <w:t>投标人具有有效的质量管理体系认证证书、环境管理体系认证证书、职业健康安全管理体系认证、食品安全管理体系认证证书、危害分析与关键控制点（HACCP）体系认证证书且都在有效期内的每个证书得1分，满分5分。（提供证书复印件并加盖公章）</w:t>
            </w:r>
          </w:p>
        </w:tc>
        <w:tc>
          <w:tcPr>
            <w:tcW w:w="990" w:type="dxa"/>
            <w:vAlign w:val="center"/>
          </w:tcPr>
          <w:p>
            <w:pPr>
              <w:pStyle w:val="4"/>
              <w:spacing w:line="360" w:lineRule="exact"/>
              <w:jc w:val="center"/>
              <w:rPr>
                <w:rFonts w:hint="eastAsia" w:ascii="宋体" w:hAnsi="宋体" w:cs="宋体"/>
                <w:szCs w:val="21"/>
              </w:rPr>
            </w:pPr>
            <w:r>
              <w:rPr>
                <w:rFonts w:hint="eastAsia" w:ascii="宋体" w:hAnsi="宋体" w:cs="宋体"/>
                <w:szCs w:val="21"/>
              </w:rPr>
              <w:t>5</w:t>
            </w:r>
          </w:p>
        </w:tc>
        <w:tc>
          <w:tcPr>
            <w:tcW w:w="1143" w:type="dxa"/>
            <w:vAlign w:val="center"/>
          </w:tcPr>
          <w:p>
            <w:pPr>
              <w:pStyle w:val="4"/>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1330" w:type="dxa"/>
            <w:vMerge w:val="restart"/>
            <w:vAlign w:val="center"/>
          </w:tcPr>
          <w:p>
            <w:pPr>
              <w:pStyle w:val="4"/>
              <w:spacing w:line="360" w:lineRule="exact"/>
              <w:rPr>
                <w:rFonts w:hint="eastAsia" w:ascii="宋体" w:hAnsi="宋体" w:cs="宋体"/>
                <w:szCs w:val="21"/>
              </w:rPr>
            </w:pPr>
            <w:bookmarkStart w:id="0" w:name="_GoBack"/>
            <w:r>
              <w:rPr>
                <w:rFonts w:hint="eastAsia" w:ascii="宋体" w:hAnsi="宋体" w:eastAsia="宋体" w:cs="宋体"/>
                <w:b/>
                <w:bCs/>
                <w:kern w:val="2"/>
                <w:sz w:val="21"/>
                <w:szCs w:val="21"/>
                <w:lang w:val="en-US" w:eastAsia="zh-CN" w:bidi="ar-SA"/>
              </w:rPr>
              <w:t>技术部分（50分）</w:t>
            </w:r>
            <w:bookmarkEnd w:id="0"/>
          </w:p>
        </w:tc>
        <w:tc>
          <w:tcPr>
            <w:tcW w:w="1164" w:type="dxa"/>
            <w:vAlign w:val="center"/>
          </w:tcPr>
          <w:p>
            <w:pPr>
              <w:pStyle w:val="4"/>
              <w:spacing w:line="360" w:lineRule="exact"/>
              <w:rPr>
                <w:rFonts w:hint="eastAsia" w:ascii="宋体" w:hAnsi="宋体" w:cs="宋体"/>
                <w:szCs w:val="21"/>
              </w:rPr>
            </w:pPr>
            <w:r>
              <w:rPr>
                <w:rFonts w:hint="eastAsia" w:ascii="宋体" w:hAnsi="宋体" w:cs="宋体"/>
                <w:szCs w:val="21"/>
              </w:rPr>
              <w:t>网点分布</w:t>
            </w:r>
          </w:p>
        </w:tc>
        <w:tc>
          <w:tcPr>
            <w:tcW w:w="8827" w:type="dxa"/>
            <w:vAlign w:val="center"/>
          </w:tcPr>
          <w:p>
            <w:pPr>
              <w:pStyle w:val="4"/>
              <w:spacing w:line="360" w:lineRule="exact"/>
              <w:rPr>
                <w:rFonts w:hint="eastAsia" w:ascii="宋体" w:hAnsi="宋体" w:cs="宋体"/>
                <w:szCs w:val="21"/>
              </w:rPr>
            </w:pPr>
            <w:r>
              <w:rPr>
                <w:rFonts w:hint="eastAsia" w:ascii="宋体" w:hAnsi="宋体" w:cs="宋体"/>
                <w:szCs w:val="21"/>
              </w:rPr>
              <w:t>支持实体门店提货，提货的服务网点须覆盖武汉三镇。根据供应商提供的武汉市内提货网点数量进行打分：网点数量≥100个得10分；网点数量50-99个得6分；网点数量20-49个得3分；其他不得分。</w:t>
            </w:r>
          </w:p>
          <w:p>
            <w:pPr>
              <w:pStyle w:val="4"/>
              <w:spacing w:line="360" w:lineRule="exact"/>
              <w:rPr>
                <w:rFonts w:hint="eastAsia" w:ascii="宋体" w:hAnsi="宋体" w:cs="宋体"/>
                <w:szCs w:val="21"/>
              </w:rPr>
            </w:pPr>
            <w:r>
              <w:rPr>
                <w:rFonts w:hint="eastAsia" w:ascii="宋体" w:hAnsi="宋体" w:cs="宋体"/>
                <w:szCs w:val="21"/>
              </w:rPr>
              <w:t>提供供货详细门店地址和电话。未提供不视为有效网点。</w:t>
            </w:r>
          </w:p>
        </w:tc>
        <w:tc>
          <w:tcPr>
            <w:tcW w:w="990" w:type="dxa"/>
            <w:vAlign w:val="center"/>
          </w:tcPr>
          <w:p>
            <w:pPr>
              <w:pStyle w:val="4"/>
              <w:spacing w:line="360" w:lineRule="exact"/>
              <w:jc w:val="center"/>
              <w:rPr>
                <w:rFonts w:hint="eastAsia" w:ascii="宋体" w:hAnsi="宋体" w:cs="宋体"/>
                <w:szCs w:val="21"/>
              </w:rPr>
            </w:pPr>
            <w:r>
              <w:rPr>
                <w:rFonts w:hint="eastAsia" w:ascii="宋体" w:hAnsi="宋体" w:cs="宋体"/>
                <w:szCs w:val="21"/>
              </w:rPr>
              <w:t>10</w:t>
            </w:r>
          </w:p>
        </w:tc>
        <w:tc>
          <w:tcPr>
            <w:tcW w:w="1143" w:type="dxa"/>
            <w:vAlign w:val="center"/>
          </w:tcPr>
          <w:p>
            <w:pPr>
              <w:spacing w:line="3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0" w:type="dxa"/>
            <w:vMerge w:val="continue"/>
            <w:vAlign w:val="center"/>
          </w:tcPr>
          <w:p>
            <w:pPr>
              <w:pStyle w:val="4"/>
              <w:spacing w:line="360" w:lineRule="exact"/>
              <w:rPr>
                <w:rFonts w:hint="eastAsia" w:ascii="宋体" w:hAnsi="宋体" w:cs="宋体"/>
                <w:szCs w:val="21"/>
              </w:rPr>
            </w:pPr>
          </w:p>
        </w:tc>
        <w:tc>
          <w:tcPr>
            <w:tcW w:w="1164" w:type="dxa"/>
            <w:vAlign w:val="center"/>
          </w:tcPr>
          <w:p>
            <w:pPr>
              <w:pStyle w:val="4"/>
              <w:spacing w:line="360" w:lineRule="exact"/>
              <w:rPr>
                <w:rFonts w:hint="eastAsia" w:ascii="宋体" w:hAnsi="宋体" w:cs="宋体"/>
                <w:szCs w:val="21"/>
              </w:rPr>
            </w:pPr>
            <w:r>
              <w:rPr>
                <w:rFonts w:hint="eastAsia" w:ascii="宋体" w:hAnsi="宋体" w:cs="宋体"/>
                <w:szCs w:val="21"/>
              </w:rPr>
              <w:t>多品牌通兑服务</w:t>
            </w:r>
          </w:p>
        </w:tc>
        <w:tc>
          <w:tcPr>
            <w:tcW w:w="8827" w:type="dxa"/>
            <w:vAlign w:val="center"/>
          </w:tcPr>
          <w:p>
            <w:pPr>
              <w:pStyle w:val="4"/>
              <w:spacing w:line="360" w:lineRule="exact"/>
              <w:rPr>
                <w:rFonts w:hint="eastAsia" w:ascii="宋体" w:hAnsi="宋体" w:cs="宋体"/>
                <w:szCs w:val="21"/>
              </w:rPr>
            </w:pPr>
            <w:r>
              <w:rPr>
                <w:rFonts w:hint="eastAsia" w:ascii="宋体" w:hAnsi="宋体" w:cs="宋体"/>
                <w:szCs w:val="21"/>
              </w:rPr>
              <w:t>供应商能提供多个商超品牌通用兑换服务。提供两个商超品牌通用服务的得2分，每增加一个商超品牌，加1分，最高得10</w:t>
            </w:r>
            <w:r>
              <w:rPr>
                <w:rFonts w:hint="eastAsia" w:ascii="宋体" w:hAnsi="宋体" w:cs="宋体"/>
                <w:szCs w:val="21"/>
              </w:rPr>
              <w:t>分。</w:t>
            </w:r>
          </w:p>
          <w:p>
            <w:pPr>
              <w:pStyle w:val="4"/>
              <w:spacing w:line="360" w:lineRule="exact"/>
              <w:rPr>
                <w:rFonts w:hint="eastAsia" w:ascii="宋体" w:hAnsi="宋体" w:cs="宋体"/>
                <w:szCs w:val="21"/>
              </w:rPr>
            </w:pPr>
            <w:r>
              <w:rPr>
                <w:rFonts w:hint="eastAsia" w:ascii="宋体" w:hAnsi="宋体" w:cs="宋体"/>
                <w:szCs w:val="21"/>
              </w:rPr>
              <w:t>所提供的商超品牌中要求在湖北省行政区域内拥有合理或自营实体门店（附门店地址）。</w:t>
            </w:r>
          </w:p>
        </w:tc>
        <w:tc>
          <w:tcPr>
            <w:tcW w:w="990" w:type="dxa"/>
            <w:vAlign w:val="center"/>
          </w:tcPr>
          <w:p>
            <w:pPr>
              <w:pStyle w:val="4"/>
              <w:spacing w:line="360" w:lineRule="exact"/>
              <w:jc w:val="center"/>
              <w:rPr>
                <w:rFonts w:hint="eastAsia" w:ascii="宋体" w:hAnsi="宋体" w:cs="宋体"/>
                <w:szCs w:val="21"/>
              </w:rPr>
            </w:pPr>
            <w:r>
              <w:rPr>
                <w:rFonts w:hint="eastAsia" w:ascii="宋体" w:hAnsi="宋体" w:cs="宋体"/>
                <w:szCs w:val="21"/>
              </w:rPr>
              <w:t>10</w:t>
            </w:r>
          </w:p>
        </w:tc>
        <w:tc>
          <w:tcPr>
            <w:tcW w:w="1143" w:type="dxa"/>
            <w:vAlign w:val="center"/>
          </w:tcPr>
          <w:p>
            <w:pPr>
              <w:spacing w:line="3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0" w:type="dxa"/>
            <w:vMerge w:val="continue"/>
            <w:vAlign w:val="center"/>
          </w:tcPr>
          <w:p>
            <w:pPr>
              <w:pStyle w:val="4"/>
              <w:spacing w:line="360" w:lineRule="exact"/>
              <w:rPr>
                <w:rFonts w:hint="eastAsia" w:ascii="宋体" w:hAnsi="宋体" w:cs="宋体"/>
                <w:szCs w:val="21"/>
              </w:rPr>
            </w:pPr>
          </w:p>
        </w:tc>
        <w:tc>
          <w:tcPr>
            <w:tcW w:w="1164" w:type="dxa"/>
            <w:vAlign w:val="center"/>
          </w:tcPr>
          <w:p>
            <w:pPr>
              <w:pStyle w:val="4"/>
              <w:spacing w:line="360" w:lineRule="exact"/>
              <w:rPr>
                <w:rFonts w:hint="eastAsia" w:ascii="宋体" w:hAnsi="宋体" w:cs="宋体"/>
                <w:szCs w:val="21"/>
              </w:rPr>
            </w:pPr>
            <w:r>
              <w:rPr>
                <w:rFonts w:hint="eastAsia" w:ascii="宋体" w:hAnsi="宋体" w:cs="宋体"/>
                <w:szCs w:val="21"/>
              </w:rPr>
              <w:t>提货券</w:t>
            </w:r>
          </w:p>
        </w:tc>
        <w:tc>
          <w:tcPr>
            <w:tcW w:w="8827" w:type="dxa"/>
            <w:vAlign w:val="center"/>
          </w:tcPr>
          <w:p>
            <w:pPr>
              <w:pStyle w:val="4"/>
              <w:spacing w:line="360" w:lineRule="exact"/>
              <w:rPr>
                <w:rFonts w:hint="eastAsia" w:ascii="宋体" w:hAnsi="宋体" w:cs="宋体"/>
                <w:szCs w:val="21"/>
              </w:rPr>
            </w:pPr>
            <w:r>
              <w:rPr>
                <w:rFonts w:hint="eastAsia" w:ascii="宋体" w:hAnsi="宋体" w:cs="宋体"/>
                <w:szCs w:val="21"/>
              </w:rPr>
              <w:t>发放形式，在提供纸质版实物提货券的同时，还支持线上电子券形式，支持网上选货、无门槛消费免费快递送货上门得5分，支持网上选货、有门槛消费免费快递送货上门得2分；不支持不得分。（证明材料需提供加盖公章承诺函）</w:t>
            </w:r>
          </w:p>
        </w:tc>
        <w:tc>
          <w:tcPr>
            <w:tcW w:w="990" w:type="dxa"/>
            <w:vAlign w:val="center"/>
          </w:tcPr>
          <w:p>
            <w:pPr>
              <w:pStyle w:val="4"/>
              <w:spacing w:line="360" w:lineRule="exact"/>
              <w:jc w:val="center"/>
              <w:rPr>
                <w:rFonts w:hint="eastAsia" w:ascii="宋体" w:hAnsi="宋体" w:cs="宋体"/>
                <w:szCs w:val="21"/>
              </w:rPr>
            </w:pPr>
            <w:r>
              <w:rPr>
                <w:rFonts w:hint="eastAsia" w:ascii="宋体" w:hAnsi="宋体" w:cs="宋体"/>
                <w:szCs w:val="21"/>
              </w:rPr>
              <w:t>５</w:t>
            </w:r>
          </w:p>
        </w:tc>
        <w:tc>
          <w:tcPr>
            <w:tcW w:w="1143" w:type="dxa"/>
            <w:vAlign w:val="center"/>
          </w:tcPr>
          <w:p>
            <w:pPr>
              <w:spacing w:line="3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0" w:type="dxa"/>
            <w:vMerge w:val="continue"/>
            <w:vAlign w:val="center"/>
          </w:tcPr>
          <w:p>
            <w:pPr>
              <w:pStyle w:val="4"/>
              <w:spacing w:line="360" w:lineRule="exact"/>
              <w:rPr>
                <w:rFonts w:hint="eastAsia" w:ascii="宋体" w:hAnsi="宋体" w:cs="宋体"/>
                <w:szCs w:val="21"/>
              </w:rPr>
            </w:pPr>
          </w:p>
        </w:tc>
        <w:tc>
          <w:tcPr>
            <w:tcW w:w="1164" w:type="dxa"/>
            <w:vAlign w:val="center"/>
          </w:tcPr>
          <w:p>
            <w:pPr>
              <w:pStyle w:val="4"/>
              <w:spacing w:line="360" w:lineRule="exact"/>
              <w:rPr>
                <w:rFonts w:hint="eastAsia" w:ascii="宋体" w:hAnsi="宋体" w:cs="宋体"/>
                <w:szCs w:val="21"/>
              </w:rPr>
            </w:pPr>
            <w:r>
              <w:rPr>
                <w:rFonts w:hint="eastAsia" w:ascii="宋体" w:hAnsi="宋体" w:cs="宋体"/>
                <w:szCs w:val="21"/>
              </w:rPr>
              <w:t>有效期</w:t>
            </w:r>
          </w:p>
        </w:tc>
        <w:tc>
          <w:tcPr>
            <w:tcW w:w="8827" w:type="dxa"/>
            <w:vAlign w:val="center"/>
          </w:tcPr>
          <w:p>
            <w:pPr>
              <w:pStyle w:val="4"/>
              <w:spacing w:line="360" w:lineRule="exact"/>
              <w:rPr>
                <w:rFonts w:hint="eastAsia" w:ascii="宋体" w:hAnsi="宋体" w:cs="宋体"/>
                <w:szCs w:val="21"/>
              </w:rPr>
            </w:pPr>
            <w:r>
              <w:rPr>
                <w:rFonts w:hint="eastAsia" w:ascii="宋体" w:hAnsi="宋体" w:cs="宋体"/>
                <w:szCs w:val="21"/>
              </w:rPr>
              <w:t>提货券有效期不得低于本项目的最低要求，有效期每增加一年加2.5分，最多得5分。</w:t>
            </w:r>
          </w:p>
        </w:tc>
        <w:tc>
          <w:tcPr>
            <w:tcW w:w="990" w:type="dxa"/>
            <w:vAlign w:val="center"/>
          </w:tcPr>
          <w:p>
            <w:pPr>
              <w:pStyle w:val="4"/>
              <w:spacing w:line="360" w:lineRule="exact"/>
              <w:jc w:val="center"/>
              <w:rPr>
                <w:rFonts w:hint="eastAsia" w:ascii="宋体" w:hAnsi="宋体" w:cs="宋体"/>
                <w:szCs w:val="21"/>
              </w:rPr>
            </w:pPr>
            <w:r>
              <w:rPr>
                <w:rFonts w:hint="eastAsia" w:ascii="宋体" w:hAnsi="宋体" w:cs="宋体"/>
                <w:szCs w:val="21"/>
              </w:rPr>
              <w:t>5</w:t>
            </w:r>
          </w:p>
        </w:tc>
        <w:tc>
          <w:tcPr>
            <w:tcW w:w="1143" w:type="dxa"/>
            <w:vAlign w:val="center"/>
          </w:tcPr>
          <w:p>
            <w:pPr>
              <w:spacing w:line="360" w:lineRule="exact"/>
              <w:jc w:val="center"/>
              <w:rPr>
                <w:rFonts w:ascii="宋体" w:hAnsi="宋体" w:cs="宋体"/>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0" w:type="dxa"/>
            <w:vMerge w:val="continue"/>
            <w:vAlign w:val="center"/>
          </w:tcPr>
          <w:p>
            <w:pPr>
              <w:pStyle w:val="4"/>
              <w:spacing w:line="360" w:lineRule="exact"/>
              <w:rPr>
                <w:rFonts w:hint="eastAsia" w:ascii="宋体" w:hAnsi="宋体" w:cs="宋体"/>
                <w:szCs w:val="21"/>
              </w:rPr>
            </w:pPr>
          </w:p>
        </w:tc>
        <w:tc>
          <w:tcPr>
            <w:tcW w:w="1164" w:type="dxa"/>
            <w:vAlign w:val="center"/>
          </w:tcPr>
          <w:p>
            <w:pPr>
              <w:pStyle w:val="4"/>
              <w:spacing w:line="360" w:lineRule="exact"/>
              <w:rPr>
                <w:rFonts w:hint="eastAsia" w:ascii="宋体" w:hAnsi="宋体" w:cs="宋体"/>
                <w:szCs w:val="21"/>
              </w:rPr>
            </w:pPr>
            <w:r>
              <w:rPr>
                <w:rFonts w:hint="eastAsia" w:ascii="宋体" w:hAnsi="宋体" w:cs="宋体"/>
                <w:szCs w:val="21"/>
              </w:rPr>
              <w:t>物资来</w:t>
            </w:r>
          </w:p>
          <w:p>
            <w:pPr>
              <w:pStyle w:val="4"/>
              <w:spacing w:line="360" w:lineRule="exact"/>
              <w:rPr>
                <w:rFonts w:hint="eastAsia" w:ascii="宋体" w:hAnsi="宋体" w:cs="宋体"/>
                <w:szCs w:val="21"/>
              </w:rPr>
            </w:pPr>
            <w:r>
              <w:rPr>
                <w:rFonts w:hint="eastAsia" w:ascii="宋体" w:hAnsi="宋体" w:cs="宋体"/>
                <w:szCs w:val="21"/>
              </w:rPr>
              <w:t>源保障</w:t>
            </w:r>
          </w:p>
        </w:tc>
        <w:tc>
          <w:tcPr>
            <w:tcW w:w="8827" w:type="dxa"/>
            <w:vAlign w:val="center"/>
          </w:tcPr>
          <w:p>
            <w:pPr>
              <w:pStyle w:val="4"/>
              <w:spacing w:line="360" w:lineRule="exact"/>
              <w:rPr>
                <w:rFonts w:hint="eastAsia" w:ascii="宋体" w:hAnsi="宋体" w:cs="宋体"/>
                <w:szCs w:val="21"/>
              </w:rPr>
            </w:pPr>
            <w:r>
              <w:rPr>
                <w:rFonts w:hint="eastAsia" w:ascii="宋体" w:hAnsi="宋体" w:cs="宋体"/>
                <w:szCs w:val="21"/>
              </w:rPr>
              <w:t>根据供应商提供的提货券购买范围类物资①食品类、②日常用品类、③粮油类、④家用电子产品类等四个方面，提供来源说明及证明材料。每提供一项证明材料得3分，本项总分12分。未提供或者证明材料不完整不得分。</w:t>
            </w:r>
          </w:p>
          <w:p>
            <w:pPr>
              <w:pStyle w:val="4"/>
              <w:spacing w:line="360" w:lineRule="exact"/>
              <w:rPr>
                <w:rFonts w:hint="eastAsia" w:ascii="宋体" w:hAnsi="宋体" w:cs="宋体"/>
                <w:szCs w:val="21"/>
              </w:rPr>
            </w:pPr>
            <w:r>
              <w:rPr>
                <w:rFonts w:hint="eastAsia" w:ascii="宋体" w:hAnsi="宋体" w:cs="宋体"/>
                <w:szCs w:val="21"/>
              </w:rPr>
              <w:t>证明材料包括但不限于：物资为自产的提供相关生产基地情况（包括所处地理位置、规模等），物资为外购的提供与生产商的代销合同、协议或授权等证明文件。</w:t>
            </w:r>
          </w:p>
        </w:tc>
        <w:tc>
          <w:tcPr>
            <w:tcW w:w="990" w:type="dxa"/>
            <w:vAlign w:val="center"/>
          </w:tcPr>
          <w:p>
            <w:pPr>
              <w:pStyle w:val="4"/>
              <w:spacing w:line="360" w:lineRule="exact"/>
              <w:jc w:val="center"/>
              <w:rPr>
                <w:rFonts w:hint="eastAsia" w:ascii="宋体" w:hAnsi="宋体" w:cs="宋体"/>
                <w:szCs w:val="21"/>
              </w:rPr>
            </w:pPr>
            <w:r>
              <w:rPr>
                <w:rFonts w:hint="eastAsia" w:ascii="宋体" w:hAnsi="宋体" w:cs="宋体"/>
                <w:szCs w:val="21"/>
              </w:rPr>
              <w:t>12</w:t>
            </w:r>
          </w:p>
        </w:tc>
        <w:tc>
          <w:tcPr>
            <w:tcW w:w="1143" w:type="dxa"/>
            <w:vAlign w:val="center"/>
          </w:tcPr>
          <w:p>
            <w:pPr>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0" w:type="dxa"/>
            <w:vMerge w:val="continue"/>
            <w:vAlign w:val="center"/>
          </w:tcPr>
          <w:p>
            <w:pPr>
              <w:pStyle w:val="4"/>
              <w:spacing w:line="360" w:lineRule="exact"/>
              <w:rPr>
                <w:rFonts w:hint="eastAsia" w:ascii="宋体" w:hAnsi="宋体" w:cs="宋体"/>
                <w:szCs w:val="21"/>
              </w:rPr>
            </w:pPr>
          </w:p>
        </w:tc>
        <w:tc>
          <w:tcPr>
            <w:tcW w:w="1164" w:type="dxa"/>
            <w:vAlign w:val="center"/>
          </w:tcPr>
          <w:p>
            <w:pPr>
              <w:pStyle w:val="4"/>
              <w:spacing w:line="360" w:lineRule="exact"/>
              <w:rPr>
                <w:rFonts w:hint="eastAsia" w:ascii="宋体" w:hAnsi="宋体" w:cs="宋体"/>
                <w:szCs w:val="21"/>
              </w:rPr>
            </w:pPr>
            <w:r>
              <w:rPr>
                <w:rFonts w:hint="eastAsia" w:ascii="宋体" w:hAnsi="宋体" w:cs="宋体"/>
                <w:szCs w:val="21"/>
              </w:rPr>
              <w:t>优惠</w:t>
            </w:r>
          </w:p>
          <w:p>
            <w:pPr>
              <w:pStyle w:val="4"/>
              <w:spacing w:line="360" w:lineRule="exact"/>
              <w:rPr>
                <w:rFonts w:hint="eastAsia" w:ascii="宋体" w:hAnsi="宋体" w:cs="宋体"/>
                <w:szCs w:val="21"/>
              </w:rPr>
            </w:pPr>
            <w:r>
              <w:rPr>
                <w:rFonts w:hint="eastAsia" w:ascii="宋体" w:hAnsi="宋体" w:cs="宋体"/>
                <w:szCs w:val="21"/>
              </w:rPr>
              <w:t>条款</w:t>
            </w:r>
          </w:p>
        </w:tc>
        <w:tc>
          <w:tcPr>
            <w:tcW w:w="8827" w:type="dxa"/>
            <w:vAlign w:val="center"/>
          </w:tcPr>
          <w:p>
            <w:pPr>
              <w:pStyle w:val="4"/>
              <w:spacing w:line="360" w:lineRule="exact"/>
              <w:rPr>
                <w:rFonts w:hint="eastAsia" w:ascii="宋体" w:hAnsi="宋体" w:cs="宋体"/>
                <w:szCs w:val="21"/>
              </w:rPr>
            </w:pPr>
            <w:r>
              <w:rPr>
                <w:rFonts w:hint="eastAsia" w:ascii="宋体" w:hAnsi="宋体" w:cs="宋体"/>
                <w:szCs w:val="21"/>
              </w:rPr>
              <w:t>有针对本项目的优惠条件或赠送物品，根据方案优惠程度进行打分：</w:t>
            </w:r>
          </w:p>
          <w:p>
            <w:pPr>
              <w:pStyle w:val="4"/>
              <w:spacing w:line="360" w:lineRule="exact"/>
              <w:rPr>
                <w:rFonts w:hint="eastAsia" w:ascii="宋体" w:hAnsi="宋体" w:cs="宋体"/>
                <w:szCs w:val="21"/>
              </w:rPr>
            </w:pPr>
            <w:r>
              <w:rPr>
                <w:rFonts w:hint="eastAsia" w:ascii="宋体" w:hAnsi="宋体" w:cs="宋体"/>
                <w:szCs w:val="21"/>
              </w:rPr>
              <w:t>（1）优惠程度大、或赠送的物品超值的，得</w:t>
            </w:r>
            <w:r>
              <w:rPr>
                <w:rFonts w:hint="eastAsia" w:ascii="宋体" w:hAnsi="宋体" w:cs="宋体"/>
                <w:szCs w:val="21"/>
                <w:lang w:val="en-US" w:eastAsia="zh-CN"/>
              </w:rPr>
              <w:t>3</w:t>
            </w:r>
            <w:r>
              <w:rPr>
                <w:rFonts w:hint="eastAsia" w:ascii="宋体" w:hAnsi="宋体" w:cs="宋体"/>
                <w:szCs w:val="21"/>
              </w:rPr>
              <w:t>分；</w:t>
            </w:r>
          </w:p>
          <w:p>
            <w:pPr>
              <w:pStyle w:val="4"/>
              <w:spacing w:line="360" w:lineRule="exact"/>
              <w:rPr>
                <w:rFonts w:hint="eastAsia" w:ascii="宋体" w:hAnsi="宋体" w:cs="宋体"/>
                <w:szCs w:val="21"/>
              </w:rPr>
            </w:pPr>
            <w:r>
              <w:rPr>
                <w:rFonts w:hint="eastAsia" w:ascii="宋体" w:hAnsi="宋体" w:cs="宋体"/>
                <w:szCs w:val="21"/>
              </w:rPr>
              <w:t xml:space="preserve">（2）优惠程度一般、或赠送的物品一般的，得2分； </w:t>
            </w:r>
          </w:p>
          <w:p>
            <w:pPr>
              <w:pStyle w:val="4"/>
              <w:spacing w:line="360" w:lineRule="exact"/>
              <w:rPr>
                <w:rFonts w:hint="eastAsia" w:ascii="宋体" w:hAnsi="宋体" w:cs="宋体"/>
                <w:szCs w:val="21"/>
              </w:rPr>
            </w:pPr>
            <w:r>
              <w:rPr>
                <w:rFonts w:hint="eastAsia" w:ascii="宋体" w:hAnsi="宋体" w:cs="宋体"/>
                <w:szCs w:val="21"/>
              </w:rPr>
              <w:t>（3）优惠程度较小得1分；</w:t>
            </w:r>
          </w:p>
          <w:p>
            <w:pPr>
              <w:pStyle w:val="4"/>
              <w:spacing w:line="360" w:lineRule="exact"/>
              <w:rPr>
                <w:rFonts w:hint="eastAsia" w:ascii="宋体" w:hAnsi="宋体" w:cs="宋体"/>
                <w:szCs w:val="21"/>
              </w:rPr>
            </w:pPr>
            <w:r>
              <w:rPr>
                <w:rFonts w:hint="eastAsia" w:ascii="宋体" w:hAnsi="宋体" w:cs="宋体"/>
                <w:szCs w:val="21"/>
              </w:rPr>
              <w:t>（4）未提供不得分。</w:t>
            </w:r>
          </w:p>
          <w:p>
            <w:pPr>
              <w:pStyle w:val="4"/>
              <w:spacing w:line="360" w:lineRule="exact"/>
              <w:rPr>
                <w:rFonts w:hint="eastAsia" w:ascii="宋体" w:hAnsi="宋体" w:cs="宋体"/>
                <w:szCs w:val="21"/>
              </w:rPr>
            </w:pPr>
            <w:r>
              <w:rPr>
                <w:rFonts w:hint="eastAsia" w:ascii="宋体" w:hAnsi="宋体" w:cs="宋体"/>
                <w:szCs w:val="21"/>
              </w:rPr>
              <w:t>（供应商的优惠条件如为赠送的线上购物优惠券，视同现金，不得有附加捆绑使用门槛，商品价格不超过商超10%内，否则视同无效优惠）。</w:t>
            </w:r>
          </w:p>
        </w:tc>
        <w:tc>
          <w:tcPr>
            <w:tcW w:w="990" w:type="dxa"/>
            <w:vAlign w:val="center"/>
          </w:tcPr>
          <w:p>
            <w:pPr>
              <w:pStyle w:val="4"/>
              <w:spacing w:line="360" w:lineRule="exact"/>
              <w:jc w:val="center"/>
              <w:rPr>
                <w:rFonts w:hint="eastAsia" w:ascii="宋体" w:hAnsi="宋体" w:cs="宋体"/>
                <w:szCs w:val="21"/>
                <w:lang w:eastAsia="zh-CN"/>
              </w:rPr>
            </w:pPr>
            <w:r>
              <w:rPr>
                <w:rFonts w:hint="eastAsia" w:ascii="宋体" w:hAnsi="宋体" w:cs="宋体"/>
                <w:szCs w:val="21"/>
                <w:lang w:val="en-US" w:eastAsia="zh-CN"/>
              </w:rPr>
              <w:t>3</w:t>
            </w:r>
          </w:p>
        </w:tc>
        <w:tc>
          <w:tcPr>
            <w:tcW w:w="1143" w:type="dxa"/>
            <w:vAlign w:val="center"/>
          </w:tcPr>
          <w:p>
            <w:pPr>
              <w:spacing w:line="3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0" w:type="dxa"/>
            <w:vMerge w:val="continue"/>
            <w:vAlign w:val="center"/>
          </w:tcPr>
          <w:p>
            <w:pPr>
              <w:pStyle w:val="4"/>
              <w:spacing w:line="360" w:lineRule="exact"/>
              <w:rPr>
                <w:rFonts w:hint="eastAsia" w:ascii="宋体" w:hAnsi="宋体" w:cs="宋体"/>
                <w:szCs w:val="21"/>
              </w:rPr>
            </w:pPr>
          </w:p>
        </w:tc>
        <w:tc>
          <w:tcPr>
            <w:tcW w:w="1164" w:type="dxa"/>
            <w:vAlign w:val="center"/>
          </w:tcPr>
          <w:p>
            <w:pPr>
              <w:pStyle w:val="4"/>
              <w:spacing w:line="360" w:lineRule="exact"/>
              <w:rPr>
                <w:rFonts w:hint="eastAsia" w:ascii="宋体" w:hAnsi="宋体" w:cs="宋体"/>
                <w:szCs w:val="21"/>
              </w:rPr>
            </w:pPr>
            <w:r>
              <w:rPr>
                <w:rFonts w:hint="eastAsia" w:ascii="宋体" w:hAnsi="宋体" w:cs="宋体"/>
                <w:szCs w:val="21"/>
              </w:rPr>
              <w:t>服务团队</w:t>
            </w:r>
          </w:p>
        </w:tc>
        <w:tc>
          <w:tcPr>
            <w:tcW w:w="8827" w:type="dxa"/>
            <w:vAlign w:val="center"/>
          </w:tcPr>
          <w:p>
            <w:pPr>
              <w:pStyle w:val="4"/>
              <w:spacing w:line="360" w:lineRule="exact"/>
              <w:rPr>
                <w:rFonts w:hint="eastAsia" w:ascii="宋体" w:hAnsi="宋体" w:cs="宋体"/>
                <w:szCs w:val="21"/>
              </w:rPr>
            </w:pPr>
            <w:r>
              <w:rPr>
                <w:rFonts w:hint="eastAsia" w:ascii="宋体" w:hAnsi="宋体" w:cs="宋体"/>
                <w:szCs w:val="21"/>
              </w:rPr>
              <w:t>根据供应商针对本项目提供的服务团队（专人服务团队、联系渠道等）及事项处理进行打分：</w:t>
            </w:r>
          </w:p>
          <w:p>
            <w:pPr>
              <w:pStyle w:val="4"/>
              <w:spacing w:line="360" w:lineRule="exact"/>
              <w:rPr>
                <w:rFonts w:hint="eastAsia" w:ascii="宋体" w:hAnsi="宋体" w:cs="宋体"/>
                <w:szCs w:val="21"/>
              </w:rPr>
            </w:pPr>
            <w:r>
              <w:rPr>
                <w:rFonts w:hint="eastAsia" w:ascii="宋体" w:hAnsi="宋体" w:cs="宋体"/>
                <w:szCs w:val="21"/>
              </w:rPr>
              <w:t>（1）供应商为本项目提供完善的服务团队、能提供多种沟通渠道，对提货券使用人提出的咨询事项能及时回复，高效处理的，得5分；</w:t>
            </w:r>
          </w:p>
          <w:p>
            <w:pPr>
              <w:pStyle w:val="4"/>
              <w:spacing w:line="360" w:lineRule="exact"/>
              <w:rPr>
                <w:rFonts w:hint="eastAsia" w:ascii="宋体" w:hAnsi="宋体" w:cs="宋体"/>
                <w:szCs w:val="21"/>
              </w:rPr>
            </w:pPr>
            <w:r>
              <w:rPr>
                <w:rFonts w:hint="eastAsia" w:ascii="宋体" w:hAnsi="宋体" w:cs="宋体"/>
                <w:szCs w:val="21"/>
              </w:rPr>
              <w:t>（2）供应商有服务团队、能提供沟通渠道，沟通渠道种类不够多，对提货券使用人提出的咨询事项能回复并处理，但处理时效不够及时的，得2分；</w:t>
            </w:r>
          </w:p>
          <w:p>
            <w:pPr>
              <w:pStyle w:val="4"/>
              <w:spacing w:line="360" w:lineRule="exact"/>
              <w:rPr>
                <w:rFonts w:hint="eastAsia" w:ascii="宋体" w:hAnsi="宋体" w:cs="宋体"/>
                <w:szCs w:val="21"/>
              </w:rPr>
            </w:pPr>
            <w:r>
              <w:rPr>
                <w:rFonts w:hint="eastAsia" w:ascii="宋体" w:hAnsi="宋体" w:cs="宋体"/>
                <w:szCs w:val="21"/>
              </w:rPr>
              <w:t>（3）其它不得分。</w:t>
            </w:r>
          </w:p>
        </w:tc>
        <w:tc>
          <w:tcPr>
            <w:tcW w:w="990" w:type="dxa"/>
            <w:vAlign w:val="center"/>
          </w:tcPr>
          <w:p>
            <w:pPr>
              <w:pStyle w:val="4"/>
              <w:spacing w:line="360" w:lineRule="exact"/>
              <w:jc w:val="center"/>
              <w:rPr>
                <w:rFonts w:hint="eastAsia" w:ascii="宋体" w:hAnsi="宋体" w:cs="宋体"/>
                <w:szCs w:val="21"/>
              </w:rPr>
            </w:pPr>
            <w:r>
              <w:rPr>
                <w:rFonts w:hint="eastAsia" w:ascii="宋体" w:hAnsi="宋体" w:cs="宋体"/>
                <w:szCs w:val="21"/>
              </w:rPr>
              <w:t>5</w:t>
            </w:r>
          </w:p>
        </w:tc>
        <w:tc>
          <w:tcPr>
            <w:tcW w:w="1143" w:type="dxa"/>
            <w:vAlign w:val="center"/>
          </w:tcPr>
          <w:p>
            <w:pPr>
              <w:spacing w:line="3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311" w:type="dxa"/>
            <w:gridSpan w:val="4"/>
            <w:vAlign w:val="center"/>
          </w:tcPr>
          <w:p>
            <w:pPr>
              <w:pStyle w:val="4"/>
              <w:spacing w:line="360" w:lineRule="exact"/>
              <w:jc w:val="center"/>
              <w:rPr>
                <w:rFonts w:hint="eastAsia" w:ascii="宋体" w:hAnsi="宋体" w:cs="宋体"/>
                <w:szCs w:val="21"/>
              </w:rPr>
            </w:pPr>
            <w:r>
              <w:rPr>
                <w:rFonts w:hint="eastAsia" w:ascii="宋体" w:hAnsi="宋体" w:cs="宋体"/>
                <w:szCs w:val="21"/>
              </w:rPr>
              <w:t>100分</w:t>
            </w:r>
          </w:p>
        </w:tc>
        <w:tc>
          <w:tcPr>
            <w:tcW w:w="1143" w:type="dxa"/>
            <w:vAlign w:val="center"/>
          </w:tcPr>
          <w:p>
            <w:pPr>
              <w:widowControl/>
              <w:spacing w:line="360" w:lineRule="exact"/>
              <w:jc w:val="center"/>
              <w:textAlignment w:val="center"/>
              <w:rPr>
                <w:rFonts w:ascii="宋体" w:hAnsi="宋体" w:cs="宋体"/>
                <w:szCs w:val="21"/>
              </w:rPr>
            </w:pPr>
          </w:p>
        </w:tc>
      </w:tr>
    </w:tbl>
    <w:p>
      <w:pPr>
        <w:pStyle w:val="2"/>
      </w:pPr>
    </w:p>
    <w:sectPr>
      <w:pgSz w:w="16838" w:h="11906" w:orient="landscape"/>
      <w:pgMar w:top="1349" w:right="1043" w:bottom="1123" w:left="11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xNjkxODM2ZmNiNDgzNjJjOWI3YTJkODE4ZmFhNzgifQ=="/>
  </w:docVars>
  <w:rsids>
    <w:rsidRoot w:val="69981257"/>
    <w:rsid w:val="000135A0"/>
    <w:rsid w:val="00015485"/>
    <w:rsid w:val="00132E42"/>
    <w:rsid w:val="00260385"/>
    <w:rsid w:val="005450A6"/>
    <w:rsid w:val="005E4FBA"/>
    <w:rsid w:val="006873CA"/>
    <w:rsid w:val="00AE4E24"/>
    <w:rsid w:val="00BC12A7"/>
    <w:rsid w:val="00BC1662"/>
    <w:rsid w:val="00BD2636"/>
    <w:rsid w:val="00C92D63"/>
    <w:rsid w:val="00CF0E1F"/>
    <w:rsid w:val="00E879E8"/>
    <w:rsid w:val="00EF127F"/>
    <w:rsid w:val="0AAB3B0A"/>
    <w:rsid w:val="10071ABF"/>
    <w:rsid w:val="1C7548BA"/>
    <w:rsid w:val="1ECC2C27"/>
    <w:rsid w:val="33F26BDC"/>
    <w:rsid w:val="41995B63"/>
    <w:rsid w:val="69981257"/>
    <w:rsid w:val="6AE36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3"/>
    <w:autoRedefine/>
    <w:qFormat/>
    <w:uiPriority w:val="0"/>
    <w:pPr>
      <w:keepNext/>
      <w:keepLines/>
      <w:spacing w:before="260" w:after="260" w:line="416" w:lineRule="auto"/>
      <w:outlineLvl w:val="2"/>
    </w:pPr>
    <w:rPr>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customStyle="1" w:styleId="3">
    <w:name w:val="样式 标题 3 + 右侧:  0.49 字符"/>
    <w:basedOn w:val="2"/>
    <w:autoRedefine/>
    <w:qFormat/>
    <w:uiPriority w:val="0"/>
    <w:pPr>
      <w:ind w:right="137" w:firstLine="138" w:firstLineChars="49"/>
    </w:pPr>
    <w:rPr>
      <w:rFonts w:cs="宋体"/>
      <w:szCs w:val="20"/>
    </w:rPr>
  </w:style>
  <w:style w:type="paragraph" w:styleId="4">
    <w:name w:val="annotation text"/>
    <w:basedOn w:val="1"/>
    <w:autoRedefine/>
    <w:qFormat/>
    <w:uiPriority w:val="0"/>
    <w:pPr>
      <w:jc w:val="left"/>
    </w:pPr>
    <w:rPr>
      <w:rFonts w:ascii="Tahoma" w:hAnsi="Tahoma"/>
    </w:rPr>
  </w:style>
  <w:style w:type="paragraph" w:styleId="5">
    <w:name w:val="footer"/>
    <w:basedOn w:val="1"/>
    <w:link w:val="11"/>
    <w:autoRedefine/>
    <w:qFormat/>
    <w:uiPriority w:val="0"/>
    <w:pPr>
      <w:tabs>
        <w:tab w:val="center" w:pos="4153"/>
        <w:tab w:val="right" w:pos="8306"/>
      </w:tabs>
      <w:snapToGrid w:val="0"/>
      <w:jc w:val="left"/>
    </w:pPr>
    <w:rPr>
      <w:sz w:val="18"/>
      <w:szCs w:val="18"/>
    </w:rPr>
  </w:style>
  <w:style w:type="paragraph" w:styleId="6">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character" w:styleId="9">
    <w:name w:val="annotation reference"/>
    <w:autoRedefine/>
    <w:qFormat/>
    <w:uiPriority w:val="0"/>
    <w:rPr>
      <w:rFonts w:ascii="Tahoma" w:hAnsi="Tahoma"/>
      <w:sz w:val="21"/>
      <w:szCs w:val="21"/>
    </w:rPr>
  </w:style>
  <w:style w:type="character" w:customStyle="1" w:styleId="10">
    <w:name w:val="页眉 Char"/>
    <w:basedOn w:val="8"/>
    <w:link w:val="6"/>
    <w:autoRedefine/>
    <w:qFormat/>
    <w:uiPriority w:val="0"/>
    <w:rPr>
      <w:rFonts w:ascii="Times New Roman" w:hAnsi="Times New Roman" w:eastAsia="宋体" w:cs="Times New Roman"/>
      <w:kern w:val="2"/>
      <w:sz w:val="18"/>
      <w:szCs w:val="18"/>
    </w:rPr>
  </w:style>
  <w:style w:type="character" w:customStyle="1" w:styleId="11">
    <w:name w:val="页脚 Char"/>
    <w:basedOn w:val="8"/>
    <w:link w:val="5"/>
    <w:autoRedefine/>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250</Words>
  <Characters>1431</Characters>
  <Lines>11</Lines>
  <Paragraphs>3</Paragraphs>
  <TotalTime>32</TotalTime>
  <ScaleCrop>false</ScaleCrop>
  <LinksUpToDate>false</LinksUpToDate>
  <CharactersWithSpaces>1678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2024-01-09T07:37:00Z</dcterms:created>
  <dc:creator>Yellow 黄夏怡</dc:creator>
  <cp:lastModifiedBy>岁月静好</cp:lastModifiedBy>
  <dcterms:modified xsi:type="dcterms:W3CDTF">2024-01-09T09:21:54Z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4E6FFFF8E82740B6B234033AB428E6D5_13</vt:lpwstr>
  </property>
</Properties>
</file>