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sz w:val="44"/>
          <w:szCs w:val="44"/>
        </w:rPr>
      </w:pPr>
      <w:r>
        <w:rPr>
          <w:rFonts w:hint="eastAsia" w:ascii="仿宋_GB2312" w:eastAsia="仿宋_GB2312"/>
          <w:sz w:val="44"/>
          <w:szCs w:val="44"/>
        </w:rPr>
        <w:t>湖北省卫生健康委员会政务信息共享平台运行维护项目采购需求文件</w:t>
      </w:r>
    </w:p>
    <w:p>
      <w:pPr>
        <w:jc w:val="center"/>
        <w:rPr>
          <w:rFonts w:ascii="仿宋_GB2312" w:eastAsia="仿宋_GB2312"/>
          <w:sz w:val="44"/>
          <w:szCs w:val="44"/>
        </w:rPr>
      </w:pPr>
    </w:p>
    <w:p>
      <w:pPr>
        <w:ind w:firstLine="560" w:firstLineChars="200"/>
        <w:rPr>
          <w:rFonts w:ascii="仿宋_GB2312" w:eastAsia="仿宋_GB2312"/>
          <w:sz w:val="28"/>
          <w:szCs w:val="28"/>
        </w:rPr>
      </w:pPr>
      <w:r>
        <w:rPr>
          <w:rFonts w:hint="eastAsia" w:ascii="仿宋" w:hAnsi="仿宋" w:eastAsia="仿宋"/>
          <w:sz w:val="28"/>
        </w:rPr>
        <w:t>依据政府采购实施计划备案表（</w:t>
      </w:r>
      <w:r>
        <w:rPr>
          <w:rFonts w:hint="eastAsia" w:ascii="仿宋" w:hAnsi="仿宋" w:eastAsia="仿宋"/>
          <w:color w:val="FF0000"/>
          <w:sz w:val="28"/>
        </w:rPr>
        <w:t>420000-2024-</w:t>
      </w:r>
      <w:r>
        <w:rPr>
          <w:rFonts w:hint="eastAsia" w:ascii="仿宋" w:hAnsi="仿宋" w:eastAsia="仿宋"/>
          <w:color w:val="FF0000"/>
          <w:sz w:val="28"/>
          <w:highlight w:val="yellow"/>
        </w:rPr>
        <w:t>05638）</w:t>
      </w:r>
      <w:r>
        <w:rPr>
          <w:rFonts w:hint="eastAsia" w:ascii="仿宋" w:hAnsi="仿宋" w:eastAsia="仿宋"/>
          <w:sz w:val="28"/>
        </w:rPr>
        <w:t>的要求</w:t>
      </w:r>
      <w:r>
        <w:rPr>
          <w:rFonts w:hint="eastAsia" w:ascii="仿宋_GB2312" w:eastAsia="仿宋_GB2312"/>
          <w:sz w:val="28"/>
          <w:szCs w:val="28"/>
        </w:rPr>
        <w:t>，现委托湖北省公共资源交易中心就</w:t>
      </w:r>
      <w:r>
        <w:rPr>
          <w:rFonts w:hint="eastAsia" w:ascii="仿宋_GB2312" w:eastAsia="仿宋_GB2312"/>
          <w:color w:val="FF0000"/>
          <w:sz w:val="28"/>
          <w:szCs w:val="28"/>
        </w:rPr>
        <w:t>“湖北省卫生健康委员会</w:t>
      </w:r>
      <w:r>
        <w:rPr>
          <w:rFonts w:hint="eastAsia" w:ascii="仿宋_GB2312" w:eastAsia="仿宋_GB2312"/>
          <w:color w:val="FF0000"/>
          <w:sz w:val="28"/>
          <w:szCs w:val="28"/>
          <w:highlight w:val="yellow"/>
        </w:rPr>
        <w:t>湖北省卫生健康政务信息共享平台</w:t>
      </w:r>
      <w:r>
        <w:rPr>
          <w:rFonts w:hint="eastAsia" w:ascii="仿宋_GB2312" w:eastAsia="仿宋_GB2312"/>
          <w:color w:val="FF0000"/>
          <w:sz w:val="28"/>
          <w:szCs w:val="28"/>
        </w:rPr>
        <w:t>年度运维”</w:t>
      </w:r>
      <w:r>
        <w:rPr>
          <w:rFonts w:hint="eastAsia" w:ascii="仿宋_GB2312" w:eastAsia="仿宋_GB2312"/>
          <w:sz w:val="28"/>
          <w:szCs w:val="28"/>
        </w:rPr>
        <w:t>进行协议采购（网上商城）采购。</w:t>
      </w:r>
    </w:p>
    <w:p>
      <w:pPr>
        <w:ind w:firstLine="560" w:firstLineChars="200"/>
        <w:rPr>
          <w:rFonts w:ascii="仿宋_GB2312" w:eastAsia="仿宋_GB2312"/>
          <w:sz w:val="28"/>
          <w:szCs w:val="28"/>
        </w:rPr>
      </w:pPr>
      <w:r>
        <w:rPr>
          <w:rFonts w:ascii="仿宋_GB2312" w:eastAsia="仿宋_GB2312"/>
          <w:sz w:val="28"/>
          <w:szCs w:val="28"/>
        </w:rPr>
        <w:t>本</w:t>
      </w:r>
      <w:r>
        <w:rPr>
          <w:rFonts w:hint="eastAsia" w:ascii="仿宋_GB2312" w:eastAsia="仿宋_GB2312"/>
          <w:sz w:val="28"/>
          <w:szCs w:val="28"/>
        </w:rPr>
        <w:t>项目</w:t>
      </w:r>
      <w:r>
        <w:rPr>
          <w:rFonts w:ascii="仿宋_GB2312" w:eastAsia="仿宋_GB2312"/>
          <w:sz w:val="28"/>
          <w:szCs w:val="28"/>
        </w:rPr>
        <w:t>采购</w:t>
      </w:r>
      <w:r>
        <w:rPr>
          <w:rFonts w:hint="eastAsia" w:ascii="仿宋_GB2312" w:eastAsia="仿宋_GB2312"/>
          <w:sz w:val="28"/>
          <w:szCs w:val="28"/>
        </w:rPr>
        <w:t>预算：人民币30万元；最高限价：人民币30万元。</w:t>
      </w:r>
    </w:p>
    <w:p>
      <w:pPr>
        <w:ind w:firstLine="560" w:firstLineChars="200"/>
        <w:rPr>
          <w:rFonts w:ascii="仿宋_GB2312" w:eastAsia="仿宋_GB2312"/>
          <w:sz w:val="28"/>
          <w:szCs w:val="28"/>
        </w:rPr>
      </w:pPr>
    </w:p>
    <w:p>
      <w:pPr>
        <w:jc w:val="center"/>
        <w:rPr>
          <w:rFonts w:ascii="仿宋_GB2312" w:eastAsia="仿宋_GB2312"/>
          <w:sz w:val="44"/>
          <w:szCs w:val="44"/>
        </w:rPr>
      </w:pPr>
      <w:bookmarkStart w:id="0" w:name="_Toc68185544"/>
      <w:bookmarkStart w:id="1" w:name="_Toc3974930"/>
      <w:bookmarkStart w:id="2" w:name="_Toc1458930"/>
      <w:r>
        <w:rPr>
          <w:rFonts w:hint="eastAsia" w:ascii="仿宋_GB2312" w:eastAsia="仿宋_GB2312"/>
          <w:sz w:val="44"/>
          <w:szCs w:val="44"/>
        </w:rPr>
        <w:t>第一部分  供应商资格要求</w:t>
      </w:r>
      <w:bookmarkEnd w:id="0"/>
      <w:bookmarkEnd w:id="1"/>
      <w:bookmarkEnd w:id="2"/>
    </w:p>
    <w:p>
      <w:pPr>
        <w:jc w:val="center"/>
        <w:rPr>
          <w:rFonts w:ascii="仿宋_GB2312" w:eastAsia="仿宋_GB2312"/>
          <w:sz w:val="28"/>
          <w:szCs w:val="28"/>
        </w:rPr>
      </w:pPr>
      <w:r>
        <w:rPr>
          <w:rFonts w:hint="eastAsia" w:ascii="仿宋_GB2312" w:eastAsia="仿宋_GB2312"/>
          <w:sz w:val="28"/>
          <w:szCs w:val="28"/>
        </w:rPr>
        <w:t>1、满足《中华人民共和国政府采购法》第二十二条规定，即：</w:t>
      </w:r>
    </w:p>
    <w:p>
      <w:pPr>
        <w:ind w:firstLine="560" w:firstLineChars="200"/>
        <w:rPr>
          <w:rFonts w:ascii="仿宋_GB2312" w:eastAsia="仿宋_GB2312"/>
          <w:sz w:val="28"/>
          <w:szCs w:val="28"/>
        </w:rPr>
      </w:pPr>
      <w:r>
        <w:rPr>
          <w:rFonts w:hint="eastAsia" w:ascii="仿宋_GB2312" w:eastAsia="仿宋_GB2312"/>
          <w:sz w:val="28"/>
          <w:szCs w:val="28"/>
        </w:rPr>
        <w:t>（1）具有独立承担民事责任的能力；</w:t>
      </w:r>
    </w:p>
    <w:p>
      <w:pPr>
        <w:ind w:firstLine="560" w:firstLineChars="200"/>
        <w:rPr>
          <w:rFonts w:ascii="仿宋_GB2312" w:eastAsia="仿宋_GB2312"/>
          <w:sz w:val="28"/>
          <w:szCs w:val="28"/>
        </w:rPr>
      </w:pPr>
      <w:r>
        <w:rPr>
          <w:rFonts w:hint="eastAsia" w:ascii="仿宋_GB2312" w:eastAsia="仿宋_GB2312"/>
          <w:sz w:val="28"/>
          <w:szCs w:val="28"/>
        </w:rPr>
        <w:t>（2）具有良好的商业信誉和健全的财务会计制度；</w:t>
      </w:r>
    </w:p>
    <w:p>
      <w:pPr>
        <w:ind w:firstLine="560" w:firstLineChars="200"/>
        <w:rPr>
          <w:rFonts w:ascii="仿宋_GB2312" w:eastAsia="仿宋_GB2312"/>
          <w:sz w:val="28"/>
          <w:szCs w:val="28"/>
        </w:rPr>
      </w:pPr>
      <w:r>
        <w:rPr>
          <w:rFonts w:hint="eastAsia" w:ascii="仿宋_GB2312" w:eastAsia="仿宋_GB2312"/>
          <w:sz w:val="28"/>
          <w:szCs w:val="28"/>
        </w:rPr>
        <w:t>（3）具有履行合同所必需的设备和专业技术能力；</w:t>
      </w:r>
    </w:p>
    <w:p>
      <w:pPr>
        <w:ind w:firstLine="560" w:firstLineChars="200"/>
        <w:rPr>
          <w:rFonts w:ascii="仿宋_GB2312" w:eastAsia="仿宋_GB2312"/>
          <w:sz w:val="28"/>
          <w:szCs w:val="28"/>
        </w:rPr>
      </w:pPr>
      <w:r>
        <w:rPr>
          <w:rFonts w:hint="eastAsia" w:ascii="仿宋_GB2312" w:eastAsia="仿宋_GB2312"/>
          <w:sz w:val="28"/>
          <w:szCs w:val="28"/>
        </w:rPr>
        <w:t>（4）有依法缴纳税收和社会保障资金的良好记录；</w:t>
      </w:r>
    </w:p>
    <w:p>
      <w:pPr>
        <w:ind w:firstLine="560" w:firstLineChars="200"/>
        <w:rPr>
          <w:rFonts w:ascii="仿宋_GB2312" w:eastAsia="仿宋_GB2312"/>
          <w:sz w:val="28"/>
          <w:szCs w:val="28"/>
        </w:rPr>
      </w:pPr>
      <w:r>
        <w:rPr>
          <w:rFonts w:hint="eastAsia" w:ascii="仿宋_GB2312" w:eastAsia="仿宋_GB2312"/>
          <w:sz w:val="28"/>
          <w:szCs w:val="28"/>
        </w:rPr>
        <w:t>（5）参加政府采购活动前三年内，在经营活动中没有重大违法记录；</w:t>
      </w:r>
    </w:p>
    <w:p>
      <w:pPr>
        <w:ind w:firstLine="560" w:firstLineChars="200"/>
        <w:rPr>
          <w:rFonts w:ascii="仿宋_GB2312" w:eastAsia="仿宋_GB2312"/>
          <w:sz w:val="28"/>
          <w:szCs w:val="28"/>
        </w:rPr>
      </w:pPr>
      <w:r>
        <w:rPr>
          <w:rFonts w:hint="eastAsia" w:ascii="仿宋_GB2312" w:eastAsia="仿宋_GB2312"/>
          <w:sz w:val="28"/>
          <w:szCs w:val="28"/>
        </w:rPr>
        <w:t>（6）法律、行政法规规定的其他条件。</w:t>
      </w:r>
    </w:p>
    <w:p>
      <w:pPr>
        <w:ind w:firstLine="560" w:firstLineChars="200"/>
        <w:rPr>
          <w:rFonts w:ascii="仿宋_GB2312" w:eastAsia="仿宋_GB2312"/>
          <w:sz w:val="28"/>
          <w:szCs w:val="28"/>
        </w:rPr>
      </w:pPr>
      <w:r>
        <w:rPr>
          <w:rFonts w:hint="eastAsia" w:ascii="仿宋_GB2312" w:eastAsia="仿宋_GB2312"/>
          <w:sz w:val="28"/>
          <w:szCs w:val="28"/>
        </w:rPr>
        <w:t>2、应未被列入失信被执行人、重大税收违法案件当事人名单，未被列入政府采购严重违法失信行为记录名单；</w:t>
      </w:r>
    </w:p>
    <w:p>
      <w:pPr>
        <w:ind w:firstLine="560" w:firstLineChars="200"/>
        <w:rPr>
          <w:rFonts w:ascii="仿宋_GB2312" w:eastAsia="仿宋_GB2312"/>
          <w:sz w:val="28"/>
          <w:szCs w:val="28"/>
        </w:rPr>
      </w:pPr>
      <w:r>
        <w:rPr>
          <w:rFonts w:hint="eastAsia" w:ascii="仿宋_GB2312" w:eastAsia="仿宋_GB2312"/>
          <w:sz w:val="28"/>
          <w:szCs w:val="28"/>
        </w:rPr>
        <w:t>3、本项目不接受联合体。</w:t>
      </w:r>
    </w:p>
    <w:p>
      <w:pPr>
        <w:jc w:val="center"/>
        <w:rPr>
          <w:rFonts w:ascii="仿宋_GB2312" w:eastAsia="仿宋_GB2312"/>
          <w:sz w:val="44"/>
          <w:szCs w:val="44"/>
        </w:rPr>
      </w:pPr>
    </w:p>
    <w:p>
      <w:pPr>
        <w:jc w:val="center"/>
        <w:rPr>
          <w:rFonts w:ascii="仿宋_GB2312" w:eastAsia="仿宋_GB2312"/>
          <w:sz w:val="44"/>
          <w:szCs w:val="44"/>
        </w:rPr>
      </w:pPr>
      <w:bookmarkStart w:id="3" w:name="_Toc511894507"/>
      <w:bookmarkStart w:id="4" w:name="_Toc511889429"/>
      <w:bookmarkStart w:id="5" w:name="_Toc67928881"/>
    </w:p>
    <w:p>
      <w:pPr>
        <w:jc w:val="center"/>
        <w:rPr>
          <w:rFonts w:ascii="仿宋_GB2312" w:eastAsia="仿宋_GB2312"/>
          <w:sz w:val="44"/>
          <w:szCs w:val="44"/>
        </w:rPr>
      </w:pPr>
      <w:r>
        <w:rPr>
          <w:rFonts w:hint="eastAsia" w:ascii="仿宋_GB2312" w:eastAsia="仿宋_GB2312"/>
          <w:sz w:val="44"/>
          <w:szCs w:val="44"/>
        </w:rPr>
        <w:t>第二部分目技术、服务及商务要求</w:t>
      </w:r>
      <w:bookmarkEnd w:id="3"/>
      <w:bookmarkEnd w:id="4"/>
      <w:bookmarkEnd w:id="5"/>
    </w:p>
    <w:p>
      <w:pPr>
        <w:pStyle w:val="12"/>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采购清单</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4251"/>
        <w:gridCol w:w="850"/>
        <w:gridCol w:w="850"/>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序号</w:t>
            </w:r>
          </w:p>
        </w:tc>
        <w:tc>
          <w:tcPr>
            <w:tcW w:w="2496" w:type="pct"/>
            <w:vAlign w:val="center"/>
          </w:tcPr>
          <w:p>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名称</w:t>
            </w:r>
          </w:p>
        </w:tc>
        <w:tc>
          <w:tcPr>
            <w:tcW w:w="499" w:type="pct"/>
            <w:vAlign w:val="center"/>
          </w:tcPr>
          <w:p>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数量</w:t>
            </w:r>
          </w:p>
        </w:tc>
        <w:tc>
          <w:tcPr>
            <w:tcW w:w="499" w:type="pct"/>
            <w:vAlign w:val="center"/>
          </w:tcPr>
          <w:p>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单位</w:t>
            </w:r>
          </w:p>
        </w:tc>
        <w:tc>
          <w:tcPr>
            <w:tcW w:w="1025" w:type="pct"/>
          </w:tcPr>
          <w:p>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货物/服务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2496" w:type="pct"/>
            <w:vAlign w:val="center"/>
          </w:tcPr>
          <w:p>
            <w:pPr>
              <w:pStyle w:val="12"/>
              <w:widowControl/>
              <w:ind w:firstLine="0" w:firstLineChars="0"/>
              <w:rPr>
                <w:rFonts w:ascii="仿宋" w:hAnsi="仿宋" w:eastAsia="仿宋"/>
                <w:bCs/>
                <w:sz w:val="24"/>
              </w:rPr>
            </w:pPr>
            <w:r>
              <w:rPr>
                <w:rFonts w:hint="eastAsia" w:ascii="仿宋" w:hAnsi="仿宋" w:eastAsia="仿宋"/>
                <w:bCs/>
                <w:sz w:val="24"/>
              </w:rPr>
              <w:t>系统应用维护服务</w:t>
            </w:r>
          </w:p>
        </w:tc>
        <w:tc>
          <w:tcPr>
            <w:tcW w:w="499"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499"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1025"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2</w:t>
            </w:r>
          </w:p>
        </w:tc>
        <w:tc>
          <w:tcPr>
            <w:tcW w:w="2496" w:type="pct"/>
            <w:vAlign w:val="center"/>
          </w:tcPr>
          <w:p>
            <w:pPr>
              <w:pStyle w:val="12"/>
              <w:widowControl/>
              <w:ind w:firstLine="0" w:firstLineChars="0"/>
              <w:rPr>
                <w:rFonts w:ascii="仿宋" w:hAnsi="仿宋" w:eastAsia="仿宋"/>
                <w:bCs/>
                <w:sz w:val="24"/>
              </w:rPr>
            </w:pPr>
            <w:r>
              <w:rPr>
                <w:rFonts w:hint="eastAsia" w:ascii="仿宋" w:hAnsi="仿宋" w:eastAsia="仿宋"/>
                <w:bCs/>
                <w:sz w:val="24"/>
              </w:rPr>
              <w:t>系统支撑及安全维护服务</w:t>
            </w:r>
          </w:p>
        </w:tc>
        <w:tc>
          <w:tcPr>
            <w:tcW w:w="499"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499"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1025"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3</w:t>
            </w:r>
          </w:p>
        </w:tc>
        <w:tc>
          <w:tcPr>
            <w:tcW w:w="2496" w:type="pct"/>
            <w:vAlign w:val="center"/>
          </w:tcPr>
          <w:p>
            <w:pPr>
              <w:pStyle w:val="12"/>
              <w:widowControl/>
              <w:spacing w:line="360" w:lineRule="auto"/>
              <w:ind w:firstLine="0" w:firstLineChars="0"/>
              <w:rPr>
                <w:rFonts w:ascii="仿宋" w:hAnsi="仿宋" w:eastAsia="仿宋"/>
                <w:bCs/>
                <w:sz w:val="24"/>
              </w:rPr>
            </w:pPr>
            <w:r>
              <w:rPr>
                <w:rFonts w:hint="eastAsia" w:ascii="仿宋" w:hAnsi="仿宋" w:eastAsia="仿宋"/>
                <w:bCs/>
                <w:sz w:val="24"/>
              </w:rPr>
              <w:t>与大数据能力平台人工对接维护服务</w:t>
            </w:r>
          </w:p>
        </w:tc>
        <w:tc>
          <w:tcPr>
            <w:tcW w:w="499"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499"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1025"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4</w:t>
            </w:r>
          </w:p>
        </w:tc>
        <w:tc>
          <w:tcPr>
            <w:tcW w:w="2496" w:type="pct"/>
            <w:vAlign w:val="center"/>
          </w:tcPr>
          <w:p>
            <w:pPr>
              <w:pStyle w:val="12"/>
              <w:ind w:firstLine="0" w:firstLineChars="0"/>
              <w:rPr>
                <w:rFonts w:ascii="仿宋" w:hAnsi="仿宋" w:eastAsia="仿宋"/>
                <w:bCs/>
                <w:sz w:val="24"/>
              </w:rPr>
            </w:pPr>
            <w:r>
              <w:rPr>
                <w:rFonts w:hint="eastAsia" w:ascii="仿宋" w:hAnsi="仿宋" w:eastAsia="仿宋"/>
                <w:bCs/>
                <w:sz w:val="24"/>
              </w:rPr>
              <w:t>数据资源库维护</w:t>
            </w:r>
            <w:r>
              <w:rPr>
                <w:rFonts w:ascii="仿宋" w:hAnsi="仿宋" w:eastAsia="仿宋"/>
                <w:bCs/>
                <w:sz w:val="24"/>
              </w:rPr>
              <w:t>服务</w:t>
            </w:r>
          </w:p>
        </w:tc>
        <w:tc>
          <w:tcPr>
            <w:tcW w:w="499"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499"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1025"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5</w:t>
            </w:r>
          </w:p>
        </w:tc>
        <w:tc>
          <w:tcPr>
            <w:tcW w:w="2496" w:type="pct"/>
            <w:vAlign w:val="center"/>
          </w:tcPr>
          <w:p>
            <w:pPr>
              <w:pStyle w:val="12"/>
              <w:widowControl/>
              <w:ind w:firstLine="0" w:firstLineChars="0"/>
              <w:rPr>
                <w:rFonts w:ascii="仿宋" w:hAnsi="仿宋" w:eastAsia="仿宋"/>
                <w:bCs/>
                <w:sz w:val="24"/>
              </w:rPr>
            </w:pPr>
            <w:r>
              <w:rPr>
                <w:rFonts w:ascii="仿宋" w:hAnsi="仿宋" w:eastAsia="仿宋"/>
                <w:bCs/>
                <w:sz w:val="24"/>
              </w:rPr>
              <w:t>数据共享应用交换服务</w:t>
            </w:r>
          </w:p>
        </w:tc>
        <w:tc>
          <w:tcPr>
            <w:tcW w:w="499"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499"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1025" w:type="pct"/>
            <w:vAlign w:val="center"/>
          </w:tcPr>
          <w:p>
            <w:pPr>
              <w:pStyle w:val="12"/>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bl>
    <w:p>
      <w:pPr>
        <w:pStyle w:val="12"/>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技术、服务要求</w:t>
      </w:r>
    </w:p>
    <w:tbl>
      <w:tblPr>
        <w:tblStyle w:val="8"/>
        <w:tblW w:w="5000" w:type="pct"/>
        <w:tblInd w:w="0" w:type="dxa"/>
        <w:tblLayout w:type="autofit"/>
        <w:tblCellMar>
          <w:top w:w="0" w:type="dxa"/>
          <w:left w:w="108" w:type="dxa"/>
          <w:bottom w:w="0" w:type="dxa"/>
          <w:right w:w="108" w:type="dxa"/>
        </w:tblCellMar>
      </w:tblPr>
      <w:tblGrid>
        <w:gridCol w:w="673"/>
        <w:gridCol w:w="2977"/>
        <w:gridCol w:w="4866"/>
      </w:tblGrid>
      <w:tr>
        <w:tblPrEx>
          <w:tblCellMar>
            <w:top w:w="0" w:type="dxa"/>
            <w:left w:w="108" w:type="dxa"/>
            <w:bottom w:w="0" w:type="dxa"/>
            <w:right w:w="108" w:type="dxa"/>
          </w:tblCellMar>
        </w:tblPrEx>
        <w:trPr>
          <w:trHeight w:val="288" w:hRule="atLeast"/>
          <w:tblHeader/>
        </w:trPr>
        <w:tc>
          <w:tcPr>
            <w:tcW w:w="39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序号</w:t>
            </w:r>
          </w:p>
        </w:tc>
        <w:tc>
          <w:tcPr>
            <w:tcW w:w="174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货物（或服务）名称</w:t>
            </w:r>
          </w:p>
        </w:tc>
        <w:tc>
          <w:tcPr>
            <w:tcW w:w="285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功能及技术参数</w:t>
            </w:r>
          </w:p>
        </w:tc>
      </w:tr>
      <w:tr>
        <w:tblPrEx>
          <w:tblCellMar>
            <w:top w:w="0" w:type="dxa"/>
            <w:left w:w="108" w:type="dxa"/>
            <w:bottom w:w="0" w:type="dxa"/>
            <w:right w:w="108" w:type="dxa"/>
          </w:tblCellMar>
        </w:tblPrEx>
        <w:trPr>
          <w:trHeight w:val="288" w:hRule="atLeast"/>
        </w:trPr>
        <w:tc>
          <w:tcPr>
            <w:tcW w:w="395"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1</w:t>
            </w:r>
          </w:p>
        </w:tc>
        <w:tc>
          <w:tcPr>
            <w:tcW w:w="1747" w:type="pct"/>
            <w:vMerge w:val="restart"/>
            <w:tcBorders>
              <w:top w:val="single" w:color="auto" w:sz="4" w:space="0"/>
              <w:left w:val="nil"/>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系统应用维护服务</w:t>
            </w: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1.日常应用维护和故障处理。及时解决系统使用过程中出现的问题</w:t>
            </w:r>
            <w:r>
              <w:rPr>
                <w:rFonts w:ascii="仿宋" w:hAnsi="仿宋" w:eastAsia="仿宋"/>
                <w:bCs/>
                <w:sz w:val="24"/>
              </w:rPr>
              <w:t>，对用户</w:t>
            </w:r>
            <w:r>
              <w:rPr>
                <w:rFonts w:hint="eastAsia" w:ascii="仿宋" w:hAnsi="仿宋" w:eastAsia="仿宋"/>
                <w:bCs/>
                <w:sz w:val="24"/>
              </w:rPr>
              <w:t>在日常系统操作中出现的疑点、问题进行解答，对新用户进行现场系统操作培训，</w:t>
            </w:r>
            <w:r>
              <w:rPr>
                <w:rFonts w:ascii="仿宋" w:hAnsi="仿宋" w:eastAsia="仿宋"/>
                <w:bCs/>
                <w:sz w:val="24"/>
              </w:rPr>
              <w:t>保证业务系统的正常运作。</w:t>
            </w:r>
          </w:p>
        </w:tc>
      </w:tr>
      <w:tr>
        <w:tblPrEx>
          <w:tblCellMar>
            <w:top w:w="0" w:type="dxa"/>
            <w:left w:w="108" w:type="dxa"/>
            <w:bottom w:w="0" w:type="dxa"/>
            <w:right w:w="108" w:type="dxa"/>
          </w:tblCellMar>
        </w:tblPrEx>
        <w:trPr>
          <w:trHeight w:val="288" w:hRule="atLeast"/>
        </w:trPr>
        <w:tc>
          <w:tcPr>
            <w:tcW w:w="395" w:type="pct"/>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top w:val="single" w:color="auto" w:sz="4" w:space="0"/>
              <w:left w:val="nil"/>
              <w:right w:val="single" w:color="auto" w:sz="4" w:space="0"/>
            </w:tcBorders>
            <w:shd w:val="clear" w:color="auto" w:fill="auto"/>
            <w:vAlign w:val="center"/>
          </w:tcPr>
          <w:p>
            <w:pPr>
              <w:pStyle w:val="12"/>
              <w:widowControl/>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2.个性化统计</w:t>
            </w:r>
            <w:r>
              <w:rPr>
                <w:rFonts w:ascii="仿宋" w:hAnsi="仿宋" w:eastAsia="仿宋"/>
                <w:bCs/>
                <w:sz w:val="24"/>
              </w:rPr>
              <w:t>分析</w:t>
            </w:r>
            <w:r>
              <w:rPr>
                <w:rFonts w:hint="eastAsia" w:ascii="仿宋" w:hAnsi="仿宋" w:eastAsia="仿宋"/>
                <w:bCs/>
                <w:sz w:val="24"/>
              </w:rPr>
              <w:t>。协助用户在系统中开展统计分析工作，对无法在应用系统中直接查询和统计的数据，维护人员编写相应的脚本进行数据提取和统计分析，并提交数据分析报告。</w:t>
            </w:r>
          </w:p>
        </w:tc>
      </w:tr>
      <w:tr>
        <w:tblPrEx>
          <w:tblCellMar>
            <w:top w:w="0" w:type="dxa"/>
            <w:left w:w="108" w:type="dxa"/>
            <w:bottom w:w="0" w:type="dxa"/>
            <w:right w:w="108" w:type="dxa"/>
          </w:tblCellMar>
        </w:tblPrEx>
        <w:trPr>
          <w:trHeight w:val="288" w:hRule="atLeast"/>
        </w:trPr>
        <w:tc>
          <w:tcPr>
            <w:tcW w:w="395" w:type="pct"/>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top w:val="single" w:color="auto" w:sz="4" w:space="0"/>
              <w:left w:val="nil"/>
              <w:right w:val="single" w:color="auto" w:sz="4" w:space="0"/>
            </w:tcBorders>
            <w:shd w:val="clear" w:color="auto" w:fill="auto"/>
            <w:vAlign w:val="center"/>
          </w:tcPr>
          <w:p>
            <w:pPr>
              <w:pStyle w:val="12"/>
              <w:widowControl/>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3.任务提醒服务。针对数据共享周期将要到期任务、数据使用申请待审批任务以及其他任务，及时提醒责任处室和相应系统运维厂商进行处理。</w:t>
            </w:r>
          </w:p>
        </w:tc>
      </w:tr>
      <w:tr>
        <w:tblPrEx>
          <w:tblCellMar>
            <w:top w:w="0" w:type="dxa"/>
            <w:left w:w="108" w:type="dxa"/>
            <w:bottom w:w="0" w:type="dxa"/>
            <w:right w:w="108" w:type="dxa"/>
          </w:tblCellMar>
        </w:tblPrEx>
        <w:trPr>
          <w:trHeight w:val="90" w:hRule="atLeast"/>
        </w:trPr>
        <w:tc>
          <w:tcPr>
            <w:tcW w:w="395" w:type="pct"/>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top w:val="single" w:color="auto" w:sz="4" w:space="0"/>
              <w:left w:val="nil"/>
              <w:right w:val="single" w:color="auto" w:sz="4" w:space="0"/>
            </w:tcBorders>
            <w:shd w:val="clear" w:color="auto" w:fill="auto"/>
            <w:vAlign w:val="center"/>
          </w:tcPr>
          <w:p>
            <w:pPr>
              <w:pStyle w:val="12"/>
              <w:widowControl/>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4.周报及工作总结。每周总结政务共享情况，形成政务信息共享情况周报，根据领导工作需要，不定期对政务信息共享工作进行总结。</w:t>
            </w:r>
          </w:p>
        </w:tc>
      </w:tr>
      <w:tr>
        <w:tblPrEx>
          <w:tblCellMar>
            <w:top w:w="0" w:type="dxa"/>
            <w:left w:w="108" w:type="dxa"/>
            <w:bottom w:w="0" w:type="dxa"/>
            <w:right w:w="108" w:type="dxa"/>
          </w:tblCellMar>
        </w:tblPrEx>
        <w:trPr>
          <w:trHeight w:val="288" w:hRule="atLeast"/>
        </w:trPr>
        <w:tc>
          <w:tcPr>
            <w:tcW w:w="395"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2</w:t>
            </w:r>
          </w:p>
        </w:tc>
        <w:tc>
          <w:tcPr>
            <w:tcW w:w="1747" w:type="pct"/>
            <w:vMerge w:val="restart"/>
            <w:tcBorders>
              <w:top w:val="single" w:color="auto" w:sz="4" w:space="0"/>
              <w:left w:val="nil"/>
              <w:right w:val="single" w:color="auto" w:sz="4" w:space="0"/>
            </w:tcBorders>
            <w:shd w:val="clear" w:color="auto" w:fill="auto"/>
            <w:vAlign w:val="center"/>
          </w:tcPr>
          <w:p>
            <w:pPr>
              <w:pStyle w:val="12"/>
              <w:widowControl/>
              <w:spacing w:line="360" w:lineRule="auto"/>
              <w:ind w:firstLine="0" w:firstLineChars="0"/>
              <w:rPr>
                <w:rFonts w:ascii="仿宋" w:hAnsi="仿宋" w:eastAsia="仿宋"/>
                <w:bCs/>
                <w:sz w:val="24"/>
              </w:rPr>
            </w:pPr>
            <w:r>
              <w:rPr>
                <w:rFonts w:hint="eastAsia" w:ascii="仿宋" w:hAnsi="仿宋" w:eastAsia="仿宋"/>
                <w:bCs/>
                <w:sz w:val="24"/>
              </w:rPr>
              <w:t>系统支撑及安全维护服务</w:t>
            </w: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1.服务器性能监控及维护。对应用服务器和数据库服务器的</w:t>
            </w:r>
            <w:r>
              <w:rPr>
                <w:rFonts w:ascii="仿宋" w:hAnsi="仿宋" w:eastAsia="仿宋"/>
                <w:bCs/>
                <w:sz w:val="24"/>
              </w:rPr>
              <w:t>CPU、负载、磁盘空间、网络流量、服务器日志等进行监控</w:t>
            </w:r>
            <w:r>
              <w:rPr>
                <w:rFonts w:hint="eastAsia" w:ascii="仿宋" w:hAnsi="仿宋" w:eastAsia="仿宋"/>
                <w:bCs/>
                <w:sz w:val="24"/>
              </w:rPr>
              <w:t>。定期对服务器空间进行清理、内存优化、修改磁盘缓存、调整数据库结构等服务器性能优化，提高并发性和响应速度。</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left w:val="nil"/>
              <w:right w:val="single" w:color="auto" w:sz="4" w:space="0"/>
            </w:tcBorders>
            <w:shd w:val="clear" w:color="auto" w:fill="auto"/>
            <w:vAlign w:val="center"/>
          </w:tcPr>
          <w:p>
            <w:pPr>
              <w:pStyle w:val="12"/>
              <w:widowControl/>
              <w:spacing w:line="360" w:lineRule="auto"/>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2.故障排查解决。对不定因素导致服务器宕机等问题，查找原因，并向主管部门反馈，恢复服务器正常工作（包括服务器重新配置）。</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left w:val="nil"/>
              <w:right w:val="single" w:color="auto" w:sz="4" w:space="0"/>
            </w:tcBorders>
            <w:shd w:val="clear" w:color="auto" w:fill="auto"/>
            <w:vAlign w:val="center"/>
          </w:tcPr>
          <w:p>
            <w:pPr>
              <w:pStyle w:val="12"/>
              <w:widowControl/>
              <w:spacing w:line="360" w:lineRule="auto"/>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3．数据的备份恢复。定期检查数据备份情况，对数据出现异常，如硬件损坏或其他特殊原因造成批量数据的丢失，基于备份数据进行恢复，保障系统稳定运行。</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left w:val="nil"/>
              <w:right w:val="single" w:color="auto" w:sz="4" w:space="0"/>
            </w:tcBorders>
            <w:shd w:val="clear" w:color="auto" w:fill="auto"/>
            <w:vAlign w:val="center"/>
          </w:tcPr>
          <w:p>
            <w:pPr>
              <w:pStyle w:val="12"/>
              <w:widowControl/>
              <w:spacing w:line="360" w:lineRule="auto"/>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4．系统安全漏洞修复。根据安全扫描的系统漏洞问题提出解决方案，及时修改系统源代码修复漏洞，加强应用系统安全防护。</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left w:val="nil"/>
              <w:bottom w:val="single" w:color="auto" w:sz="4" w:space="0"/>
              <w:right w:val="single" w:color="auto" w:sz="4" w:space="0"/>
            </w:tcBorders>
            <w:shd w:val="clear" w:color="auto" w:fill="auto"/>
            <w:vAlign w:val="center"/>
          </w:tcPr>
          <w:p>
            <w:pPr>
              <w:pStyle w:val="12"/>
              <w:widowControl/>
              <w:spacing w:line="360" w:lineRule="auto"/>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5．网络安全维护。设置定期修改密码并限定密码强度的策略、关闭不必要端口、定期对服务器网络安全进行配置升级等安全维护服务。特殊时期值守进行防病毒维护服务、安全扫描的服务器漏洞问题提出解决方案并及时修补漏洞，加强服务器网络安全防护。</w:t>
            </w:r>
          </w:p>
        </w:tc>
      </w:tr>
      <w:tr>
        <w:tblPrEx>
          <w:tblCellMar>
            <w:top w:w="0" w:type="dxa"/>
            <w:left w:w="108" w:type="dxa"/>
            <w:bottom w:w="0" w:type="dxa"/>
            <w:right w:w="108" w:type="dxa"/>
          </w:tblCellMar>
        </w:tblPrEx>
        <w:trPr>
          <w:trHeight w:val="288" w:hRule="atLeast"/>
        </w:trPr>
        <w:tc>
          <w:tcPr>
            <w:tcW w:w="395"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3</w:t>
            </w:r>
          </w:p>
        </w:tc>
        <w:tc>
          <w:tcPr>
            <w:tcW w:w="1747" w:type="pct"/>
            <w:vMerge w:val="restart"/>
            <w:tcBorders>
              <w:top w:val="single" w:color="auto" w:sz="4" w:space="0"/>
              <w:left w:val="nil"/>
              <w:right w:val="single" w:color="auto" w:sz="4" w:space="0"/>
            </w:tcBorders>
            <w:shd w:val="clear" w:color="auto" w:fill="auto"/>
            <w:vAlign w:val="center"/>
          </w:tcPr>
          <w:p>
            <w:pPr>
              <w:pStyle w:val="12"/>
              <w:widowControl/>
              <w:spacing w:line="360" w:lineRule="auto"/>
              <w:ind w:firstLine="0" w:firstLineChars="0"/>
              <w:rPr>
                <w:rFonts w:ascii="仿宋" w:hAnsi="仿宋" w:eastAsia="仿宋"/>
                <w:bCs/>
                <w:sz w:val="24"/>
              </w:rPr>
            </w:pPr>
            <w:r>
              <w:rPr>
                <w:rFonts w:hint="eastAsia" w:ascii="仿宋" w:hAnsi="仿宋" w:eastAsia="仿宋"/>
                <w:bCs/>
                <w:sz w:val="24"/>
              </w:rPr>
              <w:t>与大数据能力平台人工对接维护服务</w:t>
            </w: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ascii="宋体" w:hAnsi="宋体" w:eastAsia="宋体" w:cs="宋体"/>
                <w:sz w:val="24"/>
                <w:szCs w:val="24"/>
              </w:rPr>
              <w:t>1.大数据能力平台目录维护。根据最新湖北省省级数据共享责任清单、政务服务事项清单、其他共享清单变更需求，配合对《湖北省大数据能力平台》共享资源目录、事项管理目录进行维护，包括目录登记、变更、审核等。目录信息包括基本信息、数据项信息。</w:t>
            </w:r>
            <w:r>
              <w:rPr>
                <w:rFonts w:ascii="宋体" w:hAnsi="宋体" w:eastAsia="宋体" w:cs="宋体"/>
                <w:sz w:val="24"/>
                <w:szCs w:val="24"/>
              </w:rPr>
              <w:br w:type="textWrapping"/>
            </w:r>
            <w:r>
              <w:rPr>
                <w:rFonts w:ascii="宋体" w:hAnsi="宋体" w:eastAsia="宋体" w:cs="宋体"/>
                <w:sz w:val="24"/>
                <w:szCs w:val="24"/>
              </w:rPr>
              <w:t>配合三清单管理维护，在《湖北省大数据能力平台》-《三清单管理系统》中进行关联目录，针对省大数据中心审核的问题，相应修改大数据能力平台目录及相应数据资源。</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left w:val="nil"/>
              <w:right w:val="single" w:color="auto" w:sz="4" w:space="0"/>
            </w:tcBorders>
            <w:shd w:val="clear" w:color="auto" w:fill="auto"/>
            <w:vAlign w:val="center"/>
          </w:tcPr>
          <w:p>
            <w:pPr>
              <w:pStyle w:val="12"/>
              <w:widowControl/>
              <w:spacing w:line="360" w:lineRule="auto"/>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2．大数据能力平台数据资源维护。根据最新湖北省省级数据共享责任清单及其他共享清单变更需求，配合对《湖北省大数据能力平台》数据资源进行维护，包括数据资源应用系统信息、数据库信息、数据表、元数据信息维护。并将数据资源与目录进行关联挂接。</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left w:val="nil"/>
              <w:right w:val="single" w:color="auto" w:sz="4" w:space="0"/>
            </w:tcBorders>
            <w:shd w:val="clear" w:color="auto" w:fill="auto"/>
            <w:vAlign w:val="center"/>
          </w:tcPr>
          <w:p>
            <w:pPr>
              <w:pStyle w:val="12"/>
              <w:widowControl/>
              <w:spacing w:line="360" w:lineRule="auto"/>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3．大数据能力平台数据发布服务维护。根据最新湖北省省级数据共享责任清单及其他共享清单变更需求，配合对《湖北省大数据能力平台》数据服务进行维护及发布。通过《湖北省大数据能力平台》提供其他省直部门申请全省数据或各市州申请各市州数据等数据服务。</w:t>
            </w:r>
          </w:p>
        </w:tc>
      </w:tr>
      <w:tr>
        <w:tblPrEx>
          <w:tblCellMar>
            <w:top w:w="0" w:type="dxa"/>
            <w:left w:w="108" w:type="dxa"/>
            <w:bottom w:w="0" w:type="dxa"/>
            <w:right w:w="108" w:type="dxa"/>
          </w:tblCellMar>
        </w:tblPrEx>
        <w:trPr>
          <w:trHeight w:val="288" w:hRule="atLeast"/>
        </w:trPr>
        <w:tc>
          <w:tcPr>
            <w:tcW w:w="395" w:type="pct"/>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tcBorders>
              <w:left w:val="nil"/>
              <w:right w:val="single" w:color="auto" w:sz="4" w:space="0"/>
            </w:tcBorders>
            <w:shd w:val="clear" w:color="auto" w:fill="auto"/>
            <w:vAlign w:val="center"/>
          </w:tcPr>
          <w:p>
            <w:pPr>
              <w:pStyle w:val="12"/>
              <w:widowControl/>
              <w:spacing w:line="360" w:lineRule="auto"/>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4.质量中心维护。针对省政务办或其他省直部门通过《湖北省大数据能力平台》反馈的问题的接收，并协调处理，不能处理的及时反馈给主管部门。</w:t>
            </w:r>
          </w:p>
        </w:tc>
      </w:tr>
      <w:tr>
        <w:tblPrEx>
          <w:tblCellMar>
            <w:top w:w="0" w:type="dxa"/>
            <w:left w:w="108" w:type="dxa"/>
            <w:bottom w:w="0" w:type="dxa"/>
            <w:right w:w="108" w:type="dxa"/>
          </w:tblCellMar>
        </w:tblPrEx>
        <w:trPr>
          <w:trHeight w:val="288" w:hRule="atLeast"/>
        </w:trPr>
        <w:tc>
          <w:tcPr>
            <w:tcW w:w="395" w:type="pct"/>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tcBorders>
              <w:left w:val="nil"/>
              <w:right w:val="single" w:color="auto" w:sz="4" w:space="0"/>
            </w:tcBorders>
            <w:shd w:val="clear" w:color="auto" w:fill="auto"/>
            <w:vAlign w:val="center"/>
          </w:tcPr>
          <w:p>
            <w:pPr>
              <w:pStyle w:val="12"/>
              <w:widowControl/>
              <w:spacing w:line="360" w:lineRule="auto"/>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5.监控中心维护。针对《湖北省大数据能力平台》库表、接口等服务连接异常监控，及时处理异常错误信息。</w:t>
            </w:r>
          </w:p>
        </w:tc>
      </w:tr>
      <w:tr>
        <w:tblPrEx>
          <w:tblCellMar>
            <w:top w:w="0" w:type="dxa"/>
            <w:left w:w="108" w:type="dxa"/>
            <w:bottom w:w="0" w:type="dxa"/>
            <w:right w:w="108" w:type="dxa"/>
          </w:tblCellMar>
        </w:tblPrEx>
        <w:trPr>
          <w:trHeight w:val="288" w:hRule="atLeast"/>
        </w:trPr>
        <w:tc>
          <w:tcPr>
            <w:tcW w:w="395"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4</w:t>
            </w:r>
          </w:p>
        </w:tc>
        <w:tc>
          <w:tcPr>
            <w:tcW w:w="1747" w:type="pct"/>
            <w:vMerge w:val="restart"/>
            <w:tcBorders>
              <w:top w:val="single" w:color="auto" w:sz="4" w:space="0"/>
              <w:left w:val="nil"/>
              <w:right w:val="single" w:color="auto" w:sz="4" w:space="0"/>
            </w:tcBorders>
            <w:shd w:val="clear" w:color="auto" w:fill="auto"/>
            <w:vAlign w:val="center"/>
          </w:tcPr>
          <w:p>
            <w:pPr>
              <w:pStyle w:val="12"/>
              <w:ind w:firstLine="0" w:firstLineChars="0"/>
              <w:rPr>
                <w:rFonts w:ascii="仿宋" w:hAnsi="仿宋" w:eastAsia="仿宋"/>
                <w:bCs/>
                <w:sz w:val="24"/>
              </w:rPr>
            </w:pPr>
            <w:r>
              <w:rPr>
                <w:rFonts w:hint="eastAsia" w:ascii="仿宋" w:hAnsi="仿宋" w:eastAsia="仿宋"/>
                <w:bCs/>
                <w:sz w:val="24"/>
              </w:rPr>
              <w:t>数据资源库维护</w:t>
            </w:r>
            <w:r>
              <w:rPr>
                <w:rFonts w:ascii="仿宋" w:hAnsi="仿宋" w:eastAsia="仿宋"/>
                <w:bCs/>
                <w:sz w:val="24"/>
              </w:rPr>
              <w:t>服务</w:t>
            </w: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1.数据集成服务。根据最新湖北省省级数据共享责任清单及其他共享清单变更需求，同步增加或调整共享集成库中相应数据表结构，协调相关业务系统维护厂商明确对接规则及对接数据项，汇集相应数据资源。</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left w:val="nil"/>
              <w:right w:val="single" w:color="auto" w:sz="4" w:space="0"/>
            </w:tcBorders>
            <w:shd w:val="clear" w:color="auto" w:fill="auto"/>
            <w:vAlign w:val="center"/>
          </w:tcPr>
          <w:p>
            <w:pPr>
              <w:pStyle w:val="12"/>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2．</w:t>
            </w:r>
            <w:r>
              <w:rPr>
                <w:rFonts w:ascii="仿宋" w:hAnsi="仿宋" w:eastAsia="仿宋"/>
                <w:bCs/>
                <w:sz w:val="24"/>
              </w:rPr>
              <w:t>数据审查服务</w:t>
            </w:r>
            <w:r>
              <w:rPr>
                <w:rFonts w:hint="eastAsia" w:ascii="仿宋" w:hAnsi="仿宋" w:eastAsia="仿宋"/>
                <w:bCs/>
                <w:sz w:val="24"/>
              </w:rPr>
              <w:t>。</w:t>
            </w:r>
            <w:r>
              <w:rPr>
                <w:rFonts w:ascii="仿宋" w:hAnsi="仿宋" w:eastAsia="仿宋"/>
                <w:bCs/>
                <w:sz w:val="24"/>
              </w:rPr>
              <w:t>数据项的变动是否满足政务共享要求</w:t>
            </w:r>
            <w:r>
              <w:rPr>
                <w:rFonts w:hint="eastAsia" w:ascii="仿宋" w:hAnsi="仿宋" w:eastAsia="仿宋"/>
                <w:bCs/>
                <w:sz w:val="24"/>
              </w:rPr>
              <w:t>，</w:t>
            </w:r>
            <w:r>
              <w:rPr>
                <w:rFonts w:ascii="仿宋" w:hAnsi="仿宋" w:eastAsia="仿宋"/>
                <w:bCs/>
                <w:sz w:val="24"/>
              </w:rPr>
              <w:t>字段值的内容是否与调查要求一致</w:t>
            </w:r>
            <w:r>
              <w:rPr>
                <w:rFonts w:hint="eastAsia" w:ascii="仿宋" w:hAnsi="仿宋" w:eastAsia="仿宋"/>
                <w:bCs/>
                <w:sz w:val="24"/>
              </w:rPr>
              <w:t>，</w:t>
            </w:r>
            <w:r>
              <w:rPr>
                <w:rFonts w:ascii="仿宋" w:hAnsi="仿宋" w:eastAsia="仿宋"/>
                <w:bCs/>
                <w:sz w:val="24"/>
              </w:rPr>
              <w:t>是否全面</w:t>
            </w:r>
            <w:r>
              <w:rPr>
                <w:rFonts w:hint="eastAsia" w:ascii="仿宋" w:hAnsi="仿宋" w:eastAsia="仿宋"/>
                <w:bCs/>
                <w:sz w:val="24"/>
              </w:rPr>
              <w:t>，</w:t>
            </w:r>
            <w:r>
              <w:rPr>
                <w:rFonts w:ascii="仿宋" w:hAnsi="仿宋" w:eastAsia="仿宋"/>
                <w:bCs/>
                <w:sz w:val="24"/>
              </w:rPr>
              <w:t>记录缺失值、奇异值或空值</w:t>
            </w:r>
            <w:r>
              <w:rPr>
                <w:rFonts w:hint="eastAsia" w:ascii="仿宋" w:hAnsi="仿宋" w:eastAsia="仿宋"/>
                <w:bCs/>
                <w:sz w:val="24"/>
              </w:rPr>
              <w:t>、</w:t>
            </w:r>
            <w:r>
              <w:rPr>
                <w:rFonts w:ascii="仿宋" w:hAnsi="仿宋" w:eastAsia="仿宋"/>
                <w:bCs/>
                <w:sz w:val="24"/>
              </w:rPr>
              <w:t>重复数据等。</w:t>
            </w:r>
            <w:r>
              <w:rPr>
                <w:rFonts w:hint="eastAsia" w:ascii="仿宋" w:hAnsi="仿宋" w:eastAsia="仿宋"/>
                <w:bCs/>
                <w:sz w:val="24"/>
              </w:rPr>
              <w:t>对</w:t>
            </w:r>
            <w:r>
              <w:rPr>
                <w:rFonts w:ascii="仿宋" w:hAnsi="仿宋" w:eastAsia="仿宋"/>
                <w:bCs/>
                <w:sz w:val="24"/>
              </w:rPr>
              <w:t>审查的异常数据</w:t>
            </w:r>
            <w:r>
              <w:rPr>
                <w:rFonts w:hint="eastAsia" w:ascii="仿宋" w:hAnsi="仿宋" w:eastAsia="仿宋"/>
                <w:bCs/>
                <w:sz w:val="24"/>
              </w:rPr>
              <w:t>，</w:t>
            </w:r>
            <w:r>
              <w:rPr>
                <w:rFonts w:ascii="仿宋" w:hAnsi="仿宋" w:eastAsia="仿宋"/>
                <w:bCs/>
                <w:sz w:val="24"/>
              </w:rPr>
              <w:t>反馈给相关业务处室及</w:t>
            </w:r>
            <w:r>
              <w:rPr>
                <w:rFonts w:hint="eastAsia" w:ascii="仿宋" w:hAnsi="仿宋" w:eastAsia="仿宋"/>
                <w:bCs/>
                <w:sz w:val="24"/>
              </w:rPr>
              <w:t>业务系统维护厂商，由相关业务系统维护厂商进行调整。</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left w:val="nil"/>
              <w:right w:val="single" w:color="auto" w:sz="4" w:space="0"/>
            </w:tcBorders>
            <w:shd w:val="clear" w:color="auto" w:fill="auto"/>
            <w:vAlign w:val="center"/>
          </w:tcPr>
          <w:p>
            <w:pPr>
              <w:pStyle w:val="12"/>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3．卫生健康政务共享数据资源库数据维护服务。根据最新湖北省省级数据共享责任清单及其他共享清单变更需求，同步增加或调整卫生健康政务共享数据资源库中相应数据表结构，每天定时将共享集成库的新增会变更数据推给到卫生健康政务共享数据资源库中并挂接，保障卫生健康政务共享数据资源库数据资源更新的及时、完整、全面。</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left w:val="nil"/>
              <w:right w:val="single" w:color="auto" w:sz="4" w:space="0"/>
            </w:tcBorders>
            <w:shd w:val="clear" w:color="auto" w:fill="auto"/>
            <w:vAlign w:val="center"/>
          </w:tcPr>
          <w:p>
            <w:pPr>
              <w:pStyle w:val="12"/>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4．卫生健康政务共享数据接口服务。按照《湖北省大数据能力平台》规范及要求，提供接口以</w:t>
            </w:r>
            <w:r>
              <w:rPr>
                <w:rFonts w:ascii="仿宋" w:hAnsi="仿宋" w:eastAsia="仿宋"/>
                <w:bCs/>
                <w:sz w:val="24"/>
              </w:rPr>
              <w:t>POST 请求</w:t>
            </w:r>
            <w:r>
              <w:rPr>
                <w:rFonts w:hint="eastAsia" w:ascii="仿宋" w:hAnsi="仿宋" w:eastAsia="仿宋"/>
                <w:bCs/>
                <w:sz w:val="24"/>
              </w:rPr>
              <w:t>的方式实现卫生健康政务数据资源的共享。根据最新湖北省省级数据共享责任清单需求以及新生儿出生“一件事”涉及的关联查询需求，开发或变更卫生健康政务数据查询接口，保障《湖北省大数据能力平台》通过接口能正常访问卫生健康政务共享数据资源。</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left w:val="nil"/>
              <w:bottom w:val="single" w:color="auto" w:sz="4" w:space="0"/>
              <w:right w:val="single" w:color="auto" w:sz="4" w:space="0"/>
            </w:tcBorders>
            <w:shd w:val="clear" w:color="auto" w:fill="auto"/>
            <w:vAlign w:val="center"/>
          </w:tcPr>
          <w:p>
            <w:pPr>
              <w:pStyle w:val="12"/>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5．共享信息监控。监控与《湖北省大数据能力平台》每天各类数据资源汇聚、同步的日志，查看数据同步作业是否运行稳定。使各类信息共享的工作机制能够得到长期、有效的保障。</w:t>
            </w:r>
          </w:p>
        </w:tc>
      </w:tr>
      <w:tr>
        <w:tblPrEx>
          <w:tblCellMar>
            <w:top w:w="0" w:type="dxa"/>
            <w:left w:w="108" w:type="dxa"/>
            <w:bottom w:w="0" w:type="dxa"/>
            <w:right w:w="108" w:type="dxa"/>
          </w:tblCellMar>
        </w:tblPrEx>
        <w:trPr>
          <w:trHeight w:val="288" w:hRule="atLeast"/>
        </w:trPr>
        <w:tc>
          <w:tcPr>
            <w:tcW w:w="395"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5</w:t>
            </w:r>
          </w:p>
        </w:tc>
        <w:tc>
          <w:tcPr>
            <w:tcW w:w="1747" w:type="pct"/>
            <w:vMerge w:val="restart"/>
            <w:tcBorders>
              <w:top w:val="single" w:color="auto" w:sz="4" w:space="0"/>
              <w:left w:val="nil"/>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ascii="仿宋" w:hAnsi="仿宋" w:eastAsia="仿宋"/>
                <w:bCs/>
                <w:sz w:val="24"/>
              </w:rPr>
              <w:t>数据共享应用交换服务</w:t>
            </w: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1．数据共享推送服务。其他部门直接向省卫健委申请数据资源，根据申请的数据集、数据项及数据口径，采用数据库表方式来提取数据，推送其他部门指定的前置库中，并记录推送日志。根据对接交换频率设置定时推送作业，保障其他部门申请的数据资源能够按照要求实现对接交换。</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747" w:type="pct"/>
            <w:vMerge w:val="continue"/>
            <w:tcBorders>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p>
        </w:tc>
        <w:tc>
          <w:tcPr>
            <w:tcW w:w="2856" w:type="pct"/>
            <w:tcBorders>
              <w:top w:val="single" w:color="auto" w:sz="4" w:space="0"/>
              <w:left w:val="nil"/>
              <w:bottom w:val="single" w:color="auto" w:sz="4" w:space="0"/>
              <w:right w:val="single" w:color="auto" w:sz="4" w:space="0"/>
            </w:tcBorders>
            <w:shd w:val="clear" w:color="auto" w:fill="auto"/>
            <w:vAlign w:val="center"/>
          </w:tcPr>
          <w:p>
            <w:pPr>
              <w:pStyle w:val="12"/>
              <w:widowControl/>
              <w:ind w:firstLine="0" w:firstLineChars="0"/>
              <w:rPr>
                <w:rFonts w:ascii="仿宋" w:hAnsi="仿宋" w:eastAsia="仿宋"/>
                <w:bCs/>
                <w:sz w:val="24"/>
              </w:rPr>
            </w:pPr>
            <w:r>
              <w:rPr>
                <w:rFonts w:hint="eastAsia" w:ascii="仿宋" w:hAnsi="仿宋" w:eastAsia="仿宋"/>
                <w:bCs/>
                <w:sz w:val="24"/>
              </w:rPr>
              <w:t>2．数据共享监控服务。监控其他部门直接向省卫健委申请数据资源的共享交换推送日志，查看数据推送作业是否运行稳定。使与其他部门信息共享交换的工作机制能够得到长期、有效的保障。</w:t>
            </w:r>
          </w:p>
        </w:tc>
      </w:tr>
    </w:tbl>
    <w:p>
      <w:pPr>
        <w:pStyle w:val="12"/>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商务要求</w:t>
      </w:r>
    </w:p>
    <w:tbl>
      <w:tblPr>
        <w:tblStyle w:val="8"/>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17" w:type="dxa"/>
            <w:shd w:val="clear" w:color="auto" w:fill="auto"/>
            <w:vAlign w:val="center"/>
          </w:tcPr>
          <w:p>
            <w:pPr>
              <w:tabs>
                <w:tab w:val="left" w:pos="72"/>
                <w:tab w:val="left" w:pos="130"/>
              </w:tabs>
              <w:snapToGrid w:val="0"/>
              <w:spacing w:line="360" w:lineRule="auto"/>
              <w:jc w:val="center"/>
              <w:rPr>
                <w:rFonts w:asciiTheme="minorEastAsia" w:hAnsiTheme="minorEastAsia"/>
                <w:b/>
                <w:sz w:val="24"/>
              </w:rPr>
            </w:pPr>
            <w:r>
              <w:rPr>
                <w:rFonts w:hint="eastAsia" w:ascii="仿宋_GB2312" w:hAnsi="宋体" w:eastAsia="仿宋_GB2312"/>
                <w:b/>
                <w:bCs/>
                <w:sz w:val="24"/>
              </w:rPr>
              <w:t>序号</w:t>
            </w:r>
          </w:p>
        </w:tc>
        <w:tc>
          <w:tcPr>
            <w:tcW w:w="1418" w:type="dxa"/>
            <w:shd w:val="clear" w:color="auto" w:fill="auto"/>
            <w:vAlign w:val="center"/>
          </w:tcPr>
          <w:p>
            <w:pPr>
              <w:widowControl/>
              <w:jc w:val="center"/>
              <w:rPr>
                <w:rFonts w:ascii="仿宋_GB2312" w:hAnsi="宋体" w:eastAsia="仿宋_GB2312"/>
                <w:b/>
                <w:bCs/>
                <w:sz w:val="24"/>
              </w:rPr>
            </w:pPr>
            <w:r>
              <w:rPr>
                <w:rFonts w:hint="eastAsia" w:ascii="仿宋_GB2312" w:hAnsi="宋体" w:eastAsia="仿宋_GB2312"/>
                <w:b/>
                <w:bCs/>
                <w:sz w:val="24"/>
              </w:rPr>
              <w:t>商务条款</w:t>
            </w:r>
          </w:p>
        </w:tc>
        <w:tc>
          <w:tcPr>
            <w:tcW w:w="6095" w:type="dxa"/>
            <w:shd w:val="clear" w:color="auto" w:fill="auto"/>
            <w:vAlign w:val="center"/>
          </w:tcPr>
          <w:p>
            <w:pPr>
              <w:widowControl/>
              <w:jc w:val="center"/>
              <w:rPr>
                <w:rFonts w:ascii="仿宋_GB2312" w:hAnsi="宋体" w:eastAsia="仿宋_GB2312"/>
                <w:b/>
                <w:bCs/>
                <w:sz w:val="24"/>
              </w:rPr>
            </w:pPr>
            <w:r>
              <w:rPr>
                <w:rFonts w:hint="eastAsia" w:ascii="仿宋_GB2312" w:hAnsi="宋体" w:eastAsia="仿宋_GB2312"/>
                <w:b/>
                <w:bCs/>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color w:val="auto"/>
                <w:sz w:val="24"/>
              </w:rPr>
            </w:pPr>
          </w:p>
        </w:tc>
        <w:tc>
          <w:tcPr>
            <w:tcW w:w="1418" w:type="dxa"/>
            <w:shd w:val="clear" w:color="auto" w:fill="auto"/>
            <w:vAlign w:val="center"/>
          </w:tcPr>
          <w:p>
            <w:pPr>
              <w:widowControl/>
              <w:jc w:val="left"/>
              <w:rPr>
                <w:rFonts w:ascii="仿宋_GB2312" w:hAnsi="宋体" w:eastAsia="仿宋_GB2312"/>
                <w:bCs/>
                <w:color w:val="auto"/>
                <w:sz w:val="24"/>
              </w:rPr>
            </w:pPr>
            <w:r>
              <w:rPr>
                <w:rFonts w:hint="eastAsia" w:ascii="仿宋_GB2312" w:hAnsi="宋体" w:eastAsia="仿宋_GB2312"/>
                <w:bCs/>
                <w:color w:val="auto"/>
                <w:sz w:val="24"/>
              </w:rPr>
              <w:t>工期要求</w:t>
            </w:r>
          </w:p>
        </w:tc>
        <w:tc>
          <w:tcPr>
            <w:tcW w:w="6095" w:type="dxa"/>
            <w:shd w:val="clear" w:color="auto" w:fill="auto"/>
            <w:vAlign w:val="center"/>
          </w:tcPr>
          <w:p>
            <w:pPr>
              <w:widowControl/>
              <w:jc w:val="left"/>
              <w:rPr>
                <w:rFonts w:ascii="仿宋_GB2312" w:hAnsi="宋体" w:eastAsia="仿宋_GB2312"/>
                <w:bCs/>
                <w:color w:val="auto"/>
                <w:sz w:val="24"/>
              </w:rPr>
            </w:pPr>
            <w:r>
              <w:rPr>
                <w:rFonts w:hint="eastAsia" w:ascii="仿宋_GB2312" w:hAnsi="宋体" w:eastAsia="仿宋_GB2312"/>
                <w:bCs/>
                <w:color w:val="auto"/>
                <w:sz w:val="24"/>
              </w:rPr>
              <w:t>提供一年时间的运维服务保障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实施地点</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甲方指定地点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restart"/>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restar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报价要求</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1、投标人的报价应包含为完成本招标文件提出的货物或服务等全部相关工作所有可能发生的费用，即投标总报价为“交钥匙”价。</w:t>
            </w:r>
            <w:bookmarkStart w:id="6" w:name="_GoBack"/>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2、对本文件未列明，而投标人认为必需的费用也需列入投标总报价。在合同实施时，采购人将不予支付中标单位没有列入的项目费用，并认为此项目的费用已包含在投标总报价中。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3、投标人所投货物应报总价和项目各子系统的分项报价等，投标人应提供所投货物全部的详细清单及其价格。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restart"/>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restar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售后服务和技术支持</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lang w:val="zh-CN"/>
              </w:rPr>
              <w:t>1、因该</w:t>
            </w:r>
            <w:r>
              <w:rPr>
                <w:rFonts w:hint="eastAsia" w:ascii="仿宋_GB2312" w:hAnsi="宋体" w:eastAsia="仿宋_GB2312"/>
                <w:bCs/>
                <w:sz w:val="24"/>
              </w:rPr>
              <w:t>项目为系统运维售后服务工作，</w:t>
            </w:r>
            <w:r>
              <w:rPr>
                <w:rFonts w:hint="eastAsia" w:ascii="仿宋_GB2312" w:hAnsi="宋体" w:eastAsia="仿宋_GB2312"/>
                <w:bCs/>
                <w:sz w:val="24"/>
                <w:lang w:val="zh-CN"/>
              </w:rPr>
              <w:t>售后服务工作</w:t>
            </w:r>
            <w:r>
              <w:rPr>
                <w:rFonts w:hint="eastAsia" w:ascii="仿宋_GB2312" w:hAnsi="宋体" w:eastAsia="仿宋_GB2312"/>
                <w:bCs/>
                <w:sz w:val="24"/>
              </w:rPr>
              <w:t>涉及内容较多，周期较长</w:t>
            </w:r>
            <w:r>
              <w:rPr>
                <w:rFonts w:hint="eastAsia" w:ascii="仿宋_GB2312" w:hAnsi="宋体" w:eastAsia="仿宋_GB2312"/>
                <w:bCs/>
                <w:sz w:val="24"/>
                <w:lang w:val="zh-CN"/>
              </w:rPr>
              <w:t>，投标人为本项目提供</w:t>
            </w:r>
            <w:r>
              <w:rPr>
                <w:rFonts w:hint="eastAsia" w:ascii="仿宋_GB2312" w:hAnsi="宋体" w:eastAsia="仿宋_GB2312"/>
                <w:bCs/>
                <w:sz w:val="24"/>
              </w:rPr>
              <w:t>2</w:t>
            </w:r>
            <w:r>
              <w:rPr>
                <w:rFonts w:hint="eastAsia" w:ascii="仿宋_GB2312" w:hAnsi="宋体" w:eastAsia="仿宋_GB2312"/>
                <w:bCs/>
                <w:sz w:val="24"/>
                <w:lang w:val="zh-CN"/>
              </w:rPr>
              <w:t>人以上专业专职的</w:t>
            </w:r>
            <w:r>
              <w:rPr>
                <w:rFonts w:hint="eastAsia" w:ascii="仿宋_GB2312" w:hAnsi="宋体" w:eastAsia="仿宋_GB2312"/>
                <w:bCs/>
                <w:sz w:val="24"/>
              </w:rPr>
              <w:t>运维</w:t>
            </w:r>
            <w:r>
              <w:rPr>
                <w:rFonts w:hint="eastAsia" w:ascii="仿宋_GB2312" w:hAnsi="宋体" w:eastAsia="仿宋_GB2312"/>
                <w:bCs/>
                <w:sz w:val="24"/>
                <w:lang w:val="zh-CN"/>
              </w:rPr>
              <w:t>服务人员，要求在职员工，并能提供可靠的、正常的售后服务和技术7*24小时响应服务。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2</w:t>
            </w:r>
            <w:r>
              <w:rPr>
                <w:rFonts w:hint="eastAsia" w:ascii="仿宋_GB2312" w:hAnsi="宋体" w:eastAsia="仿宋_GB2312"/>
                <w:bCs/>
                <w:sz w:val="24"/>
                <w:lang w:val="zh-CN"/>
              </w:rPr>
              <w:t>、</w:t>
            </w:r>
            <w:r>
              <w:rPr>
                <w:rFonts w:hint="eastAsia" w:ascii="仿宋_GB2312" w:hAnsi="宋体" w:eastAsia="仿宋_GB2312"/>
                <w:bCs/>
                <w:sz w:val="24"/>
              </w:rPr>
              <w:t>运维</w:t>
            </w:r>
            <w:r>
              <w:rPr>
                <w:rFonts w:hint="eastAsia" w:ascii="仿宋_GB2312" w:hAnsi="宋体" w:eastAsia="仿宋_GB2312"/>
                <w:bCs/>
                <w:sz w:val="24"/>
                <w:lang w:val="zh-CN"/>
              </w:rPr>
              <w:t>的响应时间：在</w:t>
            </w:r>
            <w:r>
              <w:rPr>
                <w:rFonts w:hint="eastAsia" w:ascii="仿宋_GB2312" w:hAnsi="宋体" w:eastAsia="仿宋_GB2312"/>
                <w:bCs/>
                <w:sz w:val="24"/>
              </w:rPr>
              <w:t>运维</w:t>
            </w:r>
            <w:r>
              <w:rPr>
                <w:rFonts w:hint="eastAsia" w:ascii="仿宋_GB2312" w:hAnsi="宋体" w:eastAsia="仿宋_GB2312"/>
                <w:bCs/>
                <w:sz w:val="24"/>
                <w:lang w:val="zh-CN"/>
              </w:rPr>
              <w:t>期间必需</w:t>
            </w:r>
            <w:r>
              <w:rPr>
                <w:rFonts w:hint="eastAsia" w:ascii="仿宋_GB2312" w:hAnsi="宋体" w:eastAsia="仿宋_GB2312"/>
                <w:bCs/>
                <w:sz w:val="24"/>
              </w:rPr>
              <w:t>保障系统的正常运行及功能正常使用</w:t>
            </w:r>
            <w:r>
              <w:rPr>
                <w:rFonts w:hint="eastAsia" w:ascii="仿宋_GB2312" w:hAnsi="宋体" w:eastAsia="仿宋_GB2312"/>
                <w:bCs/>
                <w:sz w:val="24"/>
                <w:lang w:val="zh-CN"/>
              </w:rPr>
              <w:t>，</w:t>
            </w:r>
            <w:r>
              <w:rPr>
                <w:rFonts w:hint="eastAsia" w:ascii="仿宋_GB2312" w:hAnsi="宋体" w:eastAsia="仿宋_GB2312"/>
                <w:bCs/>
                <w:sz w:val="24"/>
              </w:rPr>
              <w:t>问题</w:t>
            </w:r>
            <w:r>
              <w:rPr>
                <w:rFonts w:hint="eastAsia" w:ascii="仿宋_GB2312" w:hAnsi="宋体" w:eastAsia="仿宋_GB2312"/>
                <w:bCs/>
                <w:sz w:val="24"/>
                <w:lang w:val="zh-CN"/>
              </w:rPr>
              <w:t>响应时间为30分钟，</w:t>
            </w:r>
            <w:r>
              <w:rPr>
                <w:rFonts w:hint="eastAsia" w:ascii="仿宋_GB2312" w:hAnsi="宋体" w:eastAsia="仿宋_GB2312"/>
                <w:bCs/>
                <w:sz w:val="24"/>
              </w:rPr>
              <w:t>工作时间段</w:t>
            </w:r>
            <w:r>
              <w:rPr>
                <w:rFonts w:hint="eastAsia" w:ascii="仿宋_GB2312" w:hAnsi="宋体" w:eastAsia="仿宋_GB2312"/>
                <w:bCs/>
                <w:sz w:val="24"/>
                <w:lang w:val="zh-CN"/>
              </w:rPr>
              <w:t>4小时</w:t>
            </w:r>
            <w:r>
              <w:rPr>
                <w:rFonts w:hint="eastAsia" w:ascii="仿宋_GB2312" w:hAnsi="宋体" w:eastAsia="仿宋_GB2312"/>
                <w:bCs/>
                <w:sz w:val="24"/>
              </w:rPr>
              <w:t>内抵达现场服务；非工作时间段6小时内抵达现场服务；一般问题4小时内解决，重大问题24小时内解决</w:t>
            </w:r>
            <w:r>
              <w:rPr>
                <w:rFonts w:hint="eastAsia" w:ascii="仿宋_GB2312" w:hAnsi="宋体" w:eastAsia="仿宋_GB2312"/>
                <w:bCs/>
                <w:sz w:val="24"/>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培训</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lang w:val="zh-CN"/>
              </w:rPr>
              <w:t>按照采购人要求提供培训服务。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付款方式</w:t>
            </w:r>
          </w:p>
        </w:tc>
        <w:tc>
          <w:tcPr>
            <w:tcW w:w="609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按照湖北省财政厅相关要求执行。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保密</w:t>
            </w:r>
          </w:p>
        </w:tc>
        <w:tc>
          <w:tcPr>
            <w:tcW w:w="609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未经采购人书面许可，中标人及其工作人员不得擅自对相关数据和信息进行复制、备份或留底。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技术文档</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提供年度运维报告。</w:t>
            </w:r>
          </w:p>
        </w:tc>
      </w:tr>
    </w:tbl>
    <w:p>
      <w:pPr>
        <w:widowControl/>
        <w:jc w:val="left"/>
        <w:rPr>
          <w:rFonts w:ascii="仿宋_GB2312" w:eastAsia="仿宋_GB2312"/>
          <w:sz w:val="32"/>
          <w:szCs w:val="32"/>
        </w:rPr>
      </w:pPr>
    </w:p>
    <w:p>
      <w:pPr>
        <w:rPr>
          <w:rFonts w:ascii="仿宋_GB2312" w:eastAsia="仿宋_GB2312"/>
          <w:sz w:val="32"/>
          <w:szCs w:val="32"/>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43A6A"/>
    <w:multiLevelType w:val="multilevel"/>
    <w:tmpl w:val="0E643A6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EA7C99"/>
    <w:multiLevelType w:val="multilevel"/>
    <w:tmpl w:val="2EEA7C99"/>
    <w:lvl w:ilvl="0" w:tentative="0">
      <w:start w:val="1"/>
      <w:numFmt w:val="decimal"/>
      <w:lvlText w:val="%1"/>
      <w:lvlJc w:val="center"/>
      <w:pPr>
        <w:ind w:left="420" w:hanging="420"/>
      </w:pPr>
      <w:rPr>
        <w:rFonts w:hint="eastAsia" w:asciiTheme="minorEastAsia" w:hAnsiTheme="minorEastAsia" w:eastAsiaTheme="minorEastAsia"/>
        <w:b w:val="0"/>
        <w:i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2M2IxOTViZjI2MWY4ODJiMGRlNmEyNGFiY2QzNTMifQ=="/>
    <w:docVar w:name="KSO_WPS_MARK_KEY" w:val="87ec1566-c76d-4f5e-b880-d9c647d5d53e"/>
  </w:docVars>
  <w:rsids>
    <w:rsidRoot w:val="00172A27"/>
    <w:rsid w:val="0006014D"/>
    <w:rsid w:val="000A6A77"/>
    <w:rsid w:val="000B3E1C"/>
    <w:rsid w:val="000D32EB"/>
    <w:rsid w:val="00144ECE"/>
    <w:rsid w:val="00147F56"/>
    <w:rsid w:val="00156D41"/>
    <w:rsid w:val="00172A27"/>
    <w:rsid w:val="00183506"/>
    <w:rsid w:val="001B09E4"/>
    <w:rsid w:val="001B77A9"/>
    <w:rsid w:val="001C2EDF"/>
    <w:rsid w:val="001E27C1"/>
    <w:rsid w:val="0020259F"/>
    <w:rsid w:val="00254276"/>
    <w:rsid w:val="002B1FA8"/>
    <w:rsid w:val="002B6A6A"/>
    <w:rsid w:val="002C2282"/>
    <w:rsid w:val="002D5A5E"/>
    <w:rsid w:val="002D7D9C"/>
    <w:rsid w:val="002E7FE7"/>
    <w:rsid w:val="0030138C"/>
    <w:rsid w:val="003076F8"/>
    <w:rsid w:val="00325F06"/>
    <w:rsid w:val="00333703"/>
    <w:rsid w:val="00352B6F"/>
    <w:rsid w:val="00364FCB"/>
    <w:rsid w:val="003C0F94"/>
    <w:rsid w:val="003C5244"/>
    <w:rsid w:val="003F2E28"/>
    <w:rsid w:val="004078A0"/>
    <w:rsid w:val="00412981"/>
    <w:rsid w:val="004B53BB"/>
    <w:rsid w:val="004E79F5"/>
    <w:rsid w:val="00501C24"/>
    <w:rsid w:val="00510D60"/>
    <w:rsid w:val="00591DBF"/>
    <w:rsid w:val="00595891"/>
    <w:rsid w:val="005A2466"/>
    <w:rsid w:val="005B1930"/>
    <w:rsid w:val="005B4558"/>
    <w:rsid w:val="005D08C0"/>
    <w:rsid w:val="005D2B6B"/>
    <w:rsid w:val="005E43AA"/>
    <w:rsid w:val="006327B7"/>
    <w:rsid w:val="006729A8"/>
    <w:rsid w:val="006853C7"/>
    <w:rsid w:val="006923DD"/>
    <w:rsid w:val="006C09CC"/>
    <w:rsid w:val="006C3858"/>
    <w:rsid w:val="006E5642"/>
    <w:rsid w:val="00717A12"/>
    <w:rsid w:val="00743E9E"/>
    <w:rsid w:val="00753F19"/>
    <w:rsid w:val="00762148"/>
    <w:rsid w:val="00763823"/>
    <w:rsid w:val="00783ED7"/>
    <w:rsid w:val="00792898"/>
    <w:rsid w:val="007E7EE1"/>
    <w:rsid w:val="00803523"/>
    <w:rsid w:val="008058E2"/>
    <w:rsid w:val="00833ECD"/>
    <w:rsid w:val="00893AA6"/>
    <w:rsid w:val="008A79D0"/>
    <w:rsid w:val="00916AF7"/>
    <w:rsid w:val="009343B0"/>
    <w:rsid w:val="0094069D"/>
    <w:rsid w:val="00954903"/>
    <w:rsid w:val="009B1CB7"/>
    <w:rsid w:val="009D05F2"/>
    <w:rsid w:val="009F1127"/>
    <w:rsid w:val="00A128E7"/>
    <w:rsid w:val="00A13A89"/>
    <w:rsid w:val="00A834C3"/>
    <w:rsid w:val="00AC769D"/>
    <w:rsid w:val="00AE4F9C"/>
    <w:rsid w:val="00BB5444"/>
    <w:rsid w:val="00C03925"/>
    <w:rsid w:val="00C42593"/>
    <w:rsid w:val="00C76565"/>
    <w:rsid w:val="00C8691A"/>
    <w:rsid w:val="00D73306"/>
    <w:rsid w:val="00D854BF"/>
    <w:rsid w:val="00D86C4A"/>
    <w:rsid w:val="00DA43AF"/>
    <w:rsid w:val="00DB4098"/>
    <w:rsid w:val="00DC1B7B"/>
    <w:rsid w:val="00E155A7"/>
    <w:rsid w:val="00E16F66"/>
    <w:rsid w:val="00E235C2"/>
    <w:rsid w:val="00E8355B"/>
    <w:rsid w:val="00F7722F"/>
    <w:rsid w:val="00F86A53"/>
    <w:rsid w:val="00FE3750"/>
    <w:rsid w:val="00FF2E59"/>
    <w:rsid w:val="043A2CAA"/>
    <w:rsid w:val="07D66FF0"/>
    <w:rsid w:val="13813941"/>
    <w:rsid w:val="191F1D05"/>
    <w:rsid w:val="209C473E"/>
    <w:rsid w:val="33DD7407"/>
    <w:rsid w:val="35702107"/>
    <w:rsid w:val="3EB7568B"/>
    <w:rsid w:val="45F158E5"/>
    <w:rsid w:val="46386AE6"/>
    <w:rsid w:val="47B059B8"/>
    <w:rsid w:val="4B104B75"/>
    <w:rsid w:val="4BBA100A"/>
    <w:rsid w:val="4D6278C5"/>
    <w:rsid w:val="50833924"/>
    <w:rsid w:val="586F5B9D"/>
    <w:rsid w:val="588C5182"/>
    <w:rsid w:val="59ED3294"/>
    <w:rsid w:val="5CA23EB1"/>
    <w:rsid w:val="61175C5B"/>
    <w:rsid w:val="66364C30"/>
    <w:rsid w:val="6D933A6C"/>
    <w:rsid w:val="6DD15A08"/>
    <w:rsid w:val="6FF84D6D"/>
    <w:rsid w:val="709F0EE6"/>
    <w:rsid w:val="730842A5"/>
    <w:rsid w:val="7FFB2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uiPriority w:val="99"/>
    <w:pPr>
      <w:jc w:val="left"/>
    </w:pPr>
  </w:style>
  <w:style w:type="paragraph" w:styleId="4">
    <w:name w:val="Balloon Text"/>
    <w:basedOn w:val="1"/>
    <w:link w:val="17"/>
    <w:semiHidden/>
    <w:unhideWhenUsed/>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semiHidden/>
    <w:unhideWhenUsed/>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标题 1 字符"/>
    <w:basedOn w:val="10"/>
    <w:link w:val="2"/>
    <w:qFormat/>
    <w:uiPriority w:val="9"/>
    <w:rPr>
      <w:rFonts w:asciiTheme="minorHAnsi" w:hAnsiTheme="minorHAnsi" w:eastAsiaTheme="minorEastAsia" w:cstheme="minorBidi"/>
      <w:b/>
      <w:bCs/>
      <w:kern w:val="44"/>
      <w:sz w:val="44"/>
      <w:szCs w:val="44"/>
    </w:rPr>
  </w:style>
  <w:style w:type="paragraph" w:customStyle="1" w:styleId="1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7">
    <w:name w:val="批注框文本 字符"/>
    <w:basedOn w:val="10"/>
    <w:link w:val="4"/>
    <w:semiHidden/>
    <w:uiPriority w:val="99"/>
    <w:rPr>
      <w:rFonts w:asciiTheme="minorHAnsi" w:hAnsiTheme="minorHAnsi" w:eastAsiaTheme="minorEastAsia" w:cstheme="minorBidi"/>
      <w:kern w:val="2"/>
      <w:sz w:val="18"/>
      <w:szCs w:val="18"/>
    </w:rPr>
  </w:style>
  <w:style w:type="character" w:customStyle="1" w:styleId="18">
    <w:name w:val="批注文字 字符"/>
    <w:basedOn w:val="10"/>
    <w:link w:val="3"/>
    <w:semiHidden/>
    <w:uiPriority w:val="99"/>
    <w:rPr>
      <w:rFonts w:asciiTheme="minorHAnsi" w:hAnsiTheme="minorHAnsi" w:eastAsiaTheme="minorEastAsia" w:cstheme="minorBidi"/>
      <w:kern w:val="2"/>
      <w:sz w:val="21"/>
      <w:szCs w:val="24"/>
    </w:rPr>
  </w:style>
  <w:style w:type="character" w:customStyle="1" w:styleId="19">
    <w:name w:val="批注主题 字符"/>
    <w:basedOn w:val="18"/>
    <w:link w:val="7"/>
    <w:semiHidden/>
    <w:uiPriority w:val="99"/>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3121</Words>
  <Characters>3159</Characters>
  <Lines>23</Lines>
  <Paragraphs>6</Paragraphs>
  <TotalTime>34</TotalTime>
  <ScaleCrop>false</ScaleCrop>
  <LinksUpToDate>false</LinksUpToDate>
  <CharactersWithSpaces>3166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2023-09-25T08:02:00Z</dcterms:created>
  <dc:creator>sky sod</dc:creator>
  <cp:lastModifiedBy>xxzx</cp:lastModifiedBy>
  <dcterms:modified xsi:type="dcterms:W3CDTF">2024-06-04T02:50:35Z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D8A3A68EACAF4AA088A3E32F5FD17D6D</vt:lpwstr>
  </property>
</Properties>
</file>