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sz w:val="28"/>
          <w:szCs w:val="28"/>
        </w:rPr>
      </w:pPr>
      <w:r>
        <w:rPr>
          <w:rFonts w:hint="eastAsia" w:ascii="仿宋_GB2312" w:eastAsia="仿宋_GB2312"/>
          <w:sz w:val="44"/>
          <w:szCs w:val="44"/>
        </w:rPr>
        <w:t>全员人口数据库及基础支撑运行维护项目采购需求文件</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r>
        <w:rPr>
          <w:rFonts w:ascii="仿宋_GB2312" w:eastAsia="仿宋_GB2312"/>
          <w:sz w:val="28"/>
          <w:szCs w:val="28"/>
        </w:rPr>
        <w:t>依据湖北省本级政府采购项目备案书420000-20</w:t>
      </w:r>
      <w:r>
        <w:rPr>
          <w:rFonts w:hint="eastAsia" w:ascii="仿宋_GB2312" w:eastAsia="仿宋_GB2312"/>
          <w:sz w:val="28"/>
          <w:szCs w:val="28"/>
        </w:rPr>
        <w:t>2</w:t>
      </w: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highlight w:val="none"/>
          <w:lang w:val="en-US" w:eastAsia="zh-CN"/>
        </w:rPr>
        <w:t>05637</w:t>
      </w:r>
      <w:r>
        <w:rPr>
          <w:rFonts w:hint="eastAsia" w:ascii="仿宋_GB2312" w:eastAsia="仿宋_GB2312"/>
          <w:sz w:val="28"/>
          <w:szCs w:val="28"/>
        </w:rPr>
        <w:t>的要求，现委托湖北省公共资源交易中心就“全员人</w:t>
      </w:r>
      <w:bookmarkStart w:id="3" w:name="_GoBack"/>
      <w:bookmarkEnd w:id="3"/>
      <w:r>
        <w:rPr>
          <w:rFonts w:hint="eastAsia" w:ascii="仿宋_GB2312" w:eastAsia="仿宋_GB2312"/>
          <w:sz w:val="28"/>
          <w:szCs w:val="28"/>
        </w:rPr>
        <w:t>口数据库及基础支撑运行维护项目”进行协议采购（网上商城采购）。</w:t>
      </w:r>
    </w:p>
    <w:p>
      <w:pPr>
        <w:ind w:firstLine="560" w:firstLineChars="200"/>
        <w:rPr>
          <w:rFonts w:ascii="仿宋_GB2312" w:eastAsia="仿宋_GB2312"/>
          <w:sz w:val="28"/>
          <w:szCs w:val="28"/>
        </w:rPr>
      </w:pPr>
      <w:r>
        <w:rPr>
          <w:rFonts w:ascii="仿宋_GB2312" w:eastAsia="仿宋_GB2312"/>
          <w:sz w:val="28"/>
          <w:szCs w:val="28"/>
        </w:rPr>
        <w:t>本</w:t>
      </w:r>
      <w:r>
        <w:rPr>
          <w:rFonts w:hint="eastAsia" w:ascii="仿宋_GB2312" w:eastAsia="仿宋_GB2312"/>
          <w:sz w:val="28"/>
          <w:szCs w:val="28"/>
        </w:rPr>
        <w:t>项目</w:t>
      </w:r>
      <w:r>
        <w:rPr>
          <w:rFonts w:ascii="仿宋_GB2312" w:eastAsia="仿宋_GB2312"/>
          <w:sz w:val="28"/>
          <w:szCs w:val="28"/>
        </w:rPr>
        <w:t>采购</w:t>
      </w:r>
      <w:r>
        <w:rPr>
          <w:rFonts w:hint="eastAsia" w:ascii="仿宋_GB2312" w:eastAsia="仿宋_GB2312"/>
          <w:sz w:val="28"/>
          <w:szCs w:val="28"/>
        </w:rPr>
        <w:t>预算：人民币</w:t>
      </w:r>
      <w:r>
        <w:rPr>
          <w:rFonts w:hint="eastAsia" w:ascii="仿宋_GB2312" w:eastAsia="仿宋_GB2312"/>
          <w:sz w:val="28"/>
          <w:szCs w:val="28"/>
          <w:lang w:val="en-US" w:eastAsia="zh-CN"/>
        </w:rPr>
        <w:t>6</w:t>
      </w:r>
      <w:r>
        <w:rPr>
          <w:rFonts w:ascii="仿宋_GB2312" w:eastAsia="仿宋_GB2312"/>
          <w:sz w:val="28"/>
          <w:szCs w:val="28"/>
        </w:rPr>
        <w:t>0</w:t>
      </w:r>
      <w:r>
        <w:rPr>
          <w:rFonts w:hint="eastAsia" w:ascii="仿宋_GB2312" w:eastAsia="仿宋_GB2312"/>
          <w:sz w:val="28"/>
          <w:szCs w:val="28"/>
        </w:rPr>
        <w:t>万元；最高限价：人民币</w:t>
      </w:r>
      <w:r>
        <w:rPr>
          <w:rFonts w:hint="eastAsia" w:ascii="仿宋_GB2312" w:eastAsia="仿宋_GB2312"/>
          <w:sz w:val="28"/>
          <w:szCs w:val="28"/>
          <w:lang w:val="en-US" w:eastAsia="zh-CN"/>
        </w:rPr>
        <w:t>6</w:t>
      </w:r>
      <w:r>
        <w:rPr>
          <w:rFonts w:ascii="仿宋_GB2312" w:eastAsia="仿宋_GB2312"/>
          <w:sz w:val="28"/>
          <w:szCs w:val="28"/>
        </w:rPr>
        <w:t>0</w:t>
      </w:r>
      <w:r>
        <w:rPr>
          <w:rFonts w:hint="eastAsia" w:ascii="仿宋_GB2312" w:eastAsia="仿宋_GB2312"/>
          <w:sz w:val="28"/>
          <w:szCs w:val="28"/>
        </w:rPr>
        <w:t>万元。</w:t>
      </w:r>
    </w:p>
    <w:p>
      <w:pPr>
        <w:jc w:val="center"/>
        <w:rPr>
          <w:rFonts w:hint="eastAsia" w:ascii="仿宋_GB2312" w:eastAsia="仿宋_GB2312"/>
          <w:sz w:val="44"/>
          <w:szCs w:val="44"/>
        </w:rPr>
      </w:pPr>
      <w:bookmarkStart w:id="0" w:name="_Toc1458930"/>
      <w:bookmarkStart w:id="1" w:name="_Toc68185544"/>
      <w:bookmarkStart w:id="2" w:name="_Toc3974930"/>
    </w:p>
    <w:p>
      <w:pPr>
        <w:jc w:val="center"/>
        <w:rPr>
          <w:rFonts w:ascii="仿宋_GB2312" w:eastAsia="仿宋_GB2312"/>
          <w:sz w:val="44"/>
          <w:szCs w:val="44"/>
        </w:rPr>
      </w:pPr>
      <w:r>
        <w:rPr>
          <w:rFonts w:hint="eastAsia" w:ascii="仿宋_GB2312" w:eastAsia="仿宋_GB2312"/>
          <w:sz w:val="44"/>
          <w:szCs w:val="44"/>
        </w:rPr>
        <w:t>第一部分  供应商资格要求</w:t>
      </w:r>
      <w:bookmarkEnd w:id="0"/>
      <w:bookmarkEnd w:id="1"/>
      <w:bookmarkEnd w:id="2"/>
    </w:p>
    <w:p>
      <w:pPr>
        <w:jc w:val="center"/>
        <w:rPr>
          <w:rFonts w:ascii="仿宋_GB2312" w:eastAsia="仿宋_GB2312"/>
          <w:sz w:val="28"/>
          <w:szCs w:val="28"/>
        </w:rPr>
      </w:pPr>
      <w:r>
        <w:rPr>
          <w:rFonts w:hint="eastAsia" w:ascii="仿宋_GB2312" w:eastAsia="仿宋_GB2312"/>
          <w:sz w:val="28"/>
          <w:szCs w:val="28"/>
        </w:rPr>
        <w:t>1、满足《中华人民共和国政府采购法》第二十二条规定，即：</w:t>
      </w:r>
    </w:p>
    <w:p>
      <w:pPr>
        <w:ind w:firstLine="560" w:firstLineChars="200"/>
        <w:rPr>
          <w:rFonts w:ascii="仿宋_GB2312" w:eastAsia="仿宋_GB2312"/>
          <w:sz w:val="28"/>
          <w:szCs w:val="28"/>
        </w:rPr>
      </w:pPr>
      <w:r>
        <w:rPr>
          <w:rFonts w:hint="eastAsia" w:ascii="仿宋_GB2312" w:eastAsia="仿宋_GB2312"/>
          <w:sz w:val="28"/>
          <w:szCs w:val="28"/>
        </w:rPr>
        <w:t>（1）具有独立承担民事责任的能力；</w:t>
      </w:r>
    </w:p>
    <w:p>
      <w:pPr>
        <w:ind w:firstLine="560" w:firstLineChars="200"/>
        <w:rPr>
          <w:rFonts w:ascii="仿宋_GB2312" w:eastAsia="仿宋_GB2312"/>
          <w:sz w:val="28"/>
          <w:szCs w:val="28"/>
        </w:rPr>
      </w:pPr>
      <w:r>
        <w:rPr>
          <w:rFonts w:hint="eastAsia" w:ascii="仿宋_GB2312" w:eastAsia="仿宋_GB2312"/>
          <w:sz w:val="28"/>
          <w:szCs w:val="28"/>
        </w:rPr>
        <w:t>（2）具有良好的商业信誉和健全的财务会计制度；</w:t>
      </w:r>
    </w:p>
    <w:p>
      <w:pPr>
        <w:ind w:firstLine="560" w:firstLineChars="200"/>
        <w:rPr>
          <w:rFonts w:ascii="仿宋_GB2312" w:eastAsia="仿宋_GB2312"/>
          <w:sz w:val="28"/>
          <w:szCs w:val="28"/>
        </w:rPr>
      </w:pPr>
      <w:r>
        <w:rPr>
          <w:rFonts w:hint="eastAsia" w:ascii="仿宋_GB2312" w:eastAsia="仿宋_GB2312"/>
          <w:sz w:val="28"/>
          <w:szCs w:val="28"/>
        </w:rPr>
        <w:t>（3）具有履行合同所必需的设备和专业技术能力；</w:t>
      </w:r>
    </w:p>
    <w:p>
      <w:pPr>
        <w:ind w:firstLine="560" w:firstLineChars="200"/>
        <w:rPr>
          <w:rFonts w:ascii="仿宋_GB2312" w:eastAsia="仿宋_GB2312"/>
          <w:sz w:val="28"/>
          <w:szCs w:val="28"/>
        </w:rPr>
      </w:pPr>
      <w:r>
        <w:rPr>
          <w:rFonts w:hint="eastAsia" w:ascii="仿宋_GB2312" w:eastAsia="仿宋_GB2312"/>
          <w:sz w:val="28"/>
          <w:szCs w:val="28"/>
        </w:rPr>
        <w:t>（4）有依法缴纳税收和社会保障资金的良好记录；</w:t>
      </w:r>
    </w:p>
    <w:p>
      <w:pPr>
        <w:ind w:firstLine="560" w:firstLineChars="200"/>
        <w:rPr>
          <w:rFonts w:ascii="仿宋_GB2312" w:eastAsia="仿宋_GB2312"/>
          <w:sz w:val="28"/>
          <w:szCs w:val="28"/>
        </w:rPr>
      </w:pPr>
      <w:r>
        <w:rPr>
          <w:rFonts w:hint="eastAsia" w:ascii="仿宋_GB2312" w:eastAsia="仿宋_GB2312"/>
          <w:sz w:val="28"/>
          <w:szCs w:val="28"/>
        </w:rPr>
        <w:t>（5）参加政府采购活动前三年内，在经营活动中没有重大违法记录；</w:t>
      </w:r>
    </w:p>
    <w:p>
      <w:pPr>
        <w:ind w:firstLine="560" w:firstLineChars="200"/>
        <w:rPr>
          <w:rFonts w:ascii="仿宋_GB2312" w:eastAsia="仿宋_GB2312"/>
          <w:sz w:val="28"/>
          <w:szCs w:val="28"/>
        </w:rPr>
      </w:pPr>
      <w:r>
        <w:rPr>
          <w:rFonts w:hint="eastAsia" w:ascii="仿宋_GB2312" w:eastAsia="仿宋_GB2312"/>
          <w:sz w:val="28"/>
          <w:szCs w:val="28"/>
        </w:rPr>
        <w:t>（6）法律、行政法规规定的其他条件。</w:t>
      </w:r>
    </w:p>
    <w:p>
      <w:pPr>
        <w:ind w:firstLine="560" w:firstLineChars="200"/>
        <w:rPr>
          <w:rFonts w:ascii="仿宋_GB2312" w:eastAsia="仿宋_GB2312"/>
          <w:sz w:val="28"/>
          <w:szCs w:val="28"/>
        </w:rPr>
      </w:pPr>
      <w:r>
        <w:rPr>
          <w:rFonts w:hint="eastAsia" w:ascii="仿宋_GB2312" w:eastAsia="仿宋_GB2312"/>
          <w:sz w:val="28"/>
          <w:szCs w:val="28"/>
        </w:rPr>
        <w:t>2、应未被列入失信被执行人、重大税收违法案件当事人名单，未被列入政府采购严重违法失信行为记录名单；</w:t>
      </w:r>
    </w:p>
    <w:p>
      <w:pPr>
        <w:pStyle w:val="2"/>
        <w:ind w:firstLine="560" w:firstLineChars="200"/>
        <w:rPr>
          <w:rFonts w:ascii="仿宋_GB2312" w:eastAsia="仿宋_GB2312"/>
          <w:sz w:val="28"/>
          <w:szCs w:val="28"/>
        </w:rPr>
      </w:pPr>
      <w:r>
        <w:rPr>
          <w:rFonts w:hint="eastAsia" w:ascii="仿宋_GB2312" w:eastAsia="仿宋_GB2312"/>
          <w:sz w:val="28"/>
          <w:szCs w:val="28"/>
        </w:rPr>
        <w:t>3、本项目不接受联合体。</w:t>
      </w:r>
    </w:p>
    <w:p>
      <w:pPr>
        <w:pStyle w:val="2"/>
      </w:pPr>
    </w:p>
    <w:p>
      <w:pPr>
        <w:widowControl/>
        <w:jc w:val="left"/>
        <w:rPr>
          <w:rFonts w:ascii="黑体" w:hAnsi="黑体" w:eastAsia="黑体"/>
          <w:b/>
          <w:bCs w:val="0"/>
          <w:sz w:val="32"/>
          <w:szCs w:val="32"/>
        </w:rPr>
      </w:pPr>
    </w:p>
    <w:p>
      <w:pPr>
        <w:rPr>
          <w:rFonts w:hint="eastAsia" w:ascii="仿宋_GB2312" w:eastAsia="仿宋_GB2312"/>
          <w:sz w:val="44"/>
          <w:szCs w:val="44"/>
        </w:rPr>
      </w:pPr>
      <w:r>
        <w:rPr>
          <w:rFonts w:hint="eastAsia" w:ascii="仿宋_GB2312" w:eastAsia="仿宋_GB2312"/>
          <w:sz w:val="44"/>
          <w:szCs w:val="44"/>
        </w:rPr>
        <w:br w:type="page"/>
      </w:r>
    </w:p>
    <w:p>
      <w:pPr>
        <w:widowControl/>
        <w:spacing w:line="360" w:lineRule="auto"/>
        <w:jc w:val="center"/>
        <w:rPr>
          <w:rFonts w:ascii="黑体" w:hAnsi="黑体" w:eastAsia="黑体"/>
          <w:bCs/>
          <w:sz w:val="32"/>
          <w:szCs w:val="32"/>
        </w:rPr>
      </w:pPr>
      <w:r>
        <w:rPr>
          <w:rFonts w:hint="eastAsia" w:ascii="仿宋_GB2312" w:eastAsia="仿宋_GB2312"/>
          <w:sz w:val="44"/>
          <w:szCs w:val="44"/>
        </w:rPr>
        <w:t>第二部分目技术、服务及商务要求</w:t>
      </w:r>
    </w:p>
    <w:p>
      <w:pPr>
        <w:pStyle w:val="13"/>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采购清单</w:t>
      </w:r>
    </w:p>
    <w:tbl>
      <w:tblPr>
        <w:tblStyle w:val="10"/>
        <w:tblW w:w="48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4523"/>
        <w:gridCol w:w="905"/>
        <w:gridCol w:w="90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widowControl/>
              <w:snapToGrid w:val="0"/>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2594" w:type="pct"/>
            <w:vAlign w:val="center"/>
          </w:tcPr>
          <w:p>
            <w:pPr>
              <w:widowControl/>
              <w:snapToGrid w:val="0"/>
              <w:jc w:val="center"/>
              <w:rPr>
                <w:rFonts w:ascii="宋体" w:hAnsi="宋体" w:cs="宋体"/>
                <w:b/>
                <w:bCs/>
                <w:color w:val="000000"/>
                <w:kern w:val="0"/>
                <w:sz w:val="24"/>
              </w:rPr>
            </w:pPr>
            <w:r>
              <w:rPr>
                <w:rFonts w:hint="eastAsia" w:ascii="宋体" w:hAnsi="宋体" w:cs="宋体"/>
                <w:b/>
                <w:bCs/>
                <w:color w:val="000000"/>
                <w:kern w:val="0"/>
                <w:sz w:val="24"/>
              </w:rPr>
              <w:t>名称</w:t>
            </w:r>
          </w:p>
        </w:tc>
        <w:tc>
          <w:tcPr>
            <w:tcW w:w="519" w:type="pct"/>
            <w:vAlign w:val="center"/>
          </w:tcPr>
          <w:p>
            <w:pPr>
              <w:widowControl/>
              <w:snapToGrid w:val="0"/>
              <w:jc w:val="center"/>
              <w:rPr>
                <w:rFonts w:ascii="宋体" w:hAnsi="宋体" w:cs="宋体"/>
                <w:b/>
                <w:bCs/>
                <w:color w:val="000000"/>
                <w:kern w:val="0"/>
                <w:sz w:val="24"/>
              </w:rPr>
            </w:pPr>
            <w:r>
              <w:rPr>
                <w:rFonts w:hint="eastAsia" w:ascii="宋体" w:hAnsi="宋体" w:cs="宋体"/>
                <w:b/>
                <w:bCs/>
                <w:color w:val="000000"/>
                <w:kern w:val="0"/>
                <w:sz w:val="24"/>
              </w:rPr>
              <w:t>数量</w:t>
            </w:r>
          </w:p>
        </w:tc>
        <w:tc>
          <w:tcPr>
            <w:tcW w:w="519" w:type="pct"/>
            <w:vAlign w:val="center"/>
          </w:tcPr>
          <w:p>
            <w:pPr>
              <w:widowControl/>
              <w:snapToGrid w:val="0"/>
              <w:jc w:val="center"/>
              <w:rPr>
                <w:rFonts w:ascii="宋体" w:hAnsi="宋体" w:cs="宋体"/>
                <w:b/>
                <w:bCs/>
                <w:color w:val="000000"/>
                <w:kern w:val="0"/>
                <w:sz w:val="24"/>
              </w:rPr>
            </w:pPr>
            <w:r>
              <w:rPr>
                <w:rFonts w:hint="eastAsia" w:ascii="宋体" w:hAnsi="宋体" w:cs="宋体"/>
                <w:b/>
                <w:bCs/>
                <w:color w:val="000000"/>
                <w:kern w:val="0"/>
                <w:sz w:val="24"/>
              </w:rPr>
              <w:t>单位</w:t>
            </w:r>
          </w:p>
        </w:tc>
        <w:tc>
          <w:tcPr>
            <w:tcW w:w="869" w:type="pct"/>
          </w:tcPr>
          <w:p>
            <w:pPr>
              <w:widowControl/>
              <w:snapToGrid w:val="0"/>
              <w:jc w:val="center"/>
              <w:rPr>
                <w:rFonts w:ascii="宋体" w:hAnsi="宋体" w:cs="宋体"/>
                <w:b/>
                <w:bCs/>
                <w:color w:val="000000"/>
                <w:kern w:val="0"/>
                <w:sz w:val="24"/>
              </w:rPr>
            </w:pPr>
            <w:r>
              <w:rPr>
                <w:rFonts w:hint="eastAsia" w:ascii="宋体" w:hAnsi="宋体" w:cs="宋体"/>
                <w:b/>
                <w:bCs/>
                <w:color w:val="000000"/>
                <w:kern w:val="0"/>
                <w:sz w:val="24"/>
              </w:rPr>
              <w:t>货物/服务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2594" w:type="pct"/>
          </w:tcPr>
          <w:p>
            <w:pPr>
              <w:pStyle w:val="13"/>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bCs/>
                <w:sz w:val="24"/>
              </w:rPr>
              <w:t>服务器运行环境及基础软件等优化维护</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86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2</w:t>
            </w:r>
          </w:p>
        </w:tc>
        <w:tc>
          <w:tcPr>
            <w:tcW w:w="2594" w:type="pct"/>
          </w:tcPr>
          <w:p>
            <w:pPr>
              <w:pStyle w:val="13"/>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cs="宋体"/>
                <w:bCs/>
                <w:color w:val="000000"/>
                <w:kern w:val="0"/>
                <w:sz w:val="24"/>
              </w:rPr>
              <w:t>网络运行支撑及安全维护</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86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3</w:t>
            </w:r>
          </w:p>
        </w:tc>
        <w:tc>
          <w:tcPr>
            <w:tcW w:w="2594" w:type="pct"/>
          </w:tcPr>
          <w:p>
            <w:pPr>
              <w:pStyle w:val="13"/>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cs="宋体"/>
                <w:bCs/>
                <w:color w:val="000000"/>
                <w:kern w:val="0"/>
                <w:sz w:val="24"/>
              </w:rPr>
              <w:t>全员人口数据汇聚及数据治理维护</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86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4</w:t>
            </w:r>
          </w:p>
        </w:tc>
        <w:tc>
          <w:tcPr>
            <w:tcW w:w="2594" w:type="pct"/>
          </w:tcPr>
          <w:p>
            <w:pPr>
              <w:pStyle w:val="13"/>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cs="宋体"/>
                <w:bCs/>
                <w:color w:val="000000"/>
                <w:kern w:val="0"/>
                <w:sz w:val="24"/>
              </w:rPr>
              <w:t>行政区划变动维护</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86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5</w:t>
            </w:r>
          </w:p>
        </w:tc>
        <w:tc>
          <w:tcPr>
            <w:tcW w:w="2594" w:type="pct"/>
          </w:tcPr>
          <w:p>
            <w:pPr>
              <w:pStyle w:val="13"/>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cs="宋体"/>
                <w:bCs/>
                <w:color w:val="000000"/>
                <w:kern w:val="0"/>
                <w:sz w:val="24"/>
              </w:rPr>
              <w:t>全员人口数据与国家互联互通</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86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13"/>
              <w:widowControl/>
              <w:spacing w:line="360" w:lineRule="auto"/>
              <w:ind w:firstLine="0" w:firstLineChars="0"/>
              <w:jc w:val="center"/>
              <w:rPr>
                <w:rFonts w:ascii="仿宋" w:hAnsi="仿宋" w:eastAsia="仿宋"/>
                <w:bCs/>
                <w:sz w:val="24"/>
              </w:rPr>
            </w:pPr>
            <w:r>
              <w:rPr>
                <w:rFonts w:ascii="仿宋" w:hAnsi="仿宋" w:eastAsia="仿宋"/>
                <w:bCs/>
                <w:sz w:val="24"/>
              </w:rPr>
              <w:t>6</w:t>
            </w:r>
          </w:p>
        </w:tc>
        <w:tc>
          <w:tcPr>
            <w:tcW w:w="2594" w:type="pct"/>
          </w:tcPr>
          <w:p>
            <w:pPr>
              <w:pStyle w:val="13"/>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cs="宋体"/>
                <w:bCs/>
                <w:color w:val="000000"/>
                <w:kern w:val="0"/>
                <w:sz w:val="24"/>
              </w:rPr>
              <w:t>全员人口数据省内共享交换</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86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 w:type="pct"/>
            <w:vAlign w:val="center"/>
          </w:tcPr>
          <w:p>
            <w:pPr>
              <w:pStyle w:val="13"/>
              <w:widowControl/>
              <w:spacing w:line="360" w:lineRule="auto"/>
              <w:ind w:firstLine="0" w:firstLineChars="0"/>
              <w:jc w:val="center"/>
              <w:rPr>
                <w:rFonts w:ascii="仿宋" w:hAnsi="仿宋" w:eastAsia="仿宋"/>
                <w:bCs/>
                <w:sz w:val="24"/>
              </w:rPr>
            </w:pPr>
            <w:r>
              <w:rPr>
                <w:rFonts w:ascii="仿宋" w:hAnsi="仿宋" w:eastAsia="仿宋"/>
                <w:bCs/>
                <w:sz w:val="24"/>
              </w:rPr>
              <w:t>7</w:t>
            </w:r>
          </w:p>
        </w:tc>
        <w:tc>
          <w:tcPr>
            <w:tcW w:w="2594" w:type="pct"/>
          </w:tcPr>
          <w:p>
            <w:pPr>
              <w:pStyle w:val="13"/>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cs="宋体"/>
                <w:bCs/>
                <w:color w:val="000000"/>
                <w:kern w:val="0"/>
                <w:sz w:val="24"/>
              </w:rPr>
              <w:t>数据挖掘与分析</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51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869" w:type="pct"/>
            <w:vAlign w:val="center"/>
          </w:tcPr>
          <w:p>
            <w:pPr>
              <w:pStyle w:val="13"/>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bl>
    <w:p>
      <w:pPr>
        <w:pStyle w:val="13"/>
        <w:widowControl/>
        <w:numPr>
          <w:ilvl w:val="0"/>
          <w:numId w:val="0"/>
        </w:numPr>
        <w:spacing w:line="360" w:lineRule="auto"/>
        <w:ind w:leftChars="0"/>
        <w:jc w:val="left"/>
        <w:rPr>
          <w:rFonts w:ascii="黑体" w:hAnsi="黑体" w:eastAsia="黑体"/>
          <w:bCs/>
          <w:sz w:val="32"/>
          <w:szCs w:val="32"/>
        </w:rPr>
      </w:pPr>
    </w:p>
    <w:p>
      <w:pPr>
        <w:pStyle w:val="13"/>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技术、服务要求</w:t>
      </w:r>
    </w:p>
    <w:tbl>
      <w:tblPr>
        <w:tblStyle w:val="9"/>
        <w:tblW w:w="5000" w:type="pct"/>
        <w:tblInd w:w="0" w:type="dxa"/>
        <w:tblLayout w:type="autofit"/>
        <w:tblCellMar>
          <w:top w:w="0" w:type="dxa"/>
          <w:left w:w="108" w:type="dxa"/>
          <w:bottom w:w="0" w:type="dxa"/>
          <w:right w:w="108" w:type="dxa"/>
        </w:tblCellMar>
      </w:tblPr>
      <w:tblGrid>
        <w:gridCol w:w="716"/>
        <w:gridCol w:w="2474"/>
        <w:gridCol w:w="5870"/>
      </w:tblGrid>
      <w:tr>
        <w:tblPrEx>
          <w:tblCellMar>
            <w:top w:w="0" w:type="dxa"/>
            <w:left w:w="108" w:type="dxa"/>
            <w:bottom w:w="0" w:type="dxa"/>
            <w:right w:w="108" w:type="dxa"/>
          </w:tblCellMar>
        </w:tblPrEx>
        <w:trPr>
          <w:trHeight w:val="572" w:hRule="atLeast"/>
          <w:tblHeader/>
        </w:trPr>
        <w:tc>
          <w:tcPr>
            <w:tcW w:w="39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序号</w:t>
            </w:r>
          </w:p>
        </w:tc>
        <w:tc>
          <w:tcPr>
            <w:tcW w:w="136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货物（或服务）名称</w:t>
            </w:r>
          </w:p>
        </w:tc>
        <w:tc>
          <w:tcPr>
            <w:tcW w:w="323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功能及技术参数</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1</w:t>
            </w:r>
          </w:p>
        </w:tc>
        <w:tc>
          <w:tcPr>
            <w:tcW w:w="1365" w:type="pct"/>
            <w:vMerge w:val="restart"/>
            <w:tcBorders>
              <w:top w:val="single" w:color="auto" w:sz="4" w:space="0"/>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服务器运行环境及基础软件等优化维护</w:t>
            </w:r>
          </w:p>
        </w:tc>
        <w:tc>
          <w:tcPr>
            <w:tcW w:w="3239" w:type="pct"/>
            <w:tcBorders>
              <w:top w:val="single" w:color="auto" w:sz="4" w:space="0"/>
              <w:left w:val="nil"/>
              <w:bottom w:val="single" w:color="auto" w:sz="4" w:space="0"/>
              <w:right w:val="single" w:color="auto" w:sz="4" w:space="0"/>
            </w:tcBorders>
            <w:shd w:val="clear" w:color="auto" w:fill="auto"/>
          </w:tcPr>
          <w:p>
            <w:pPr>
              <w:pStyle w:val="13"/>
              <w:widowControl/>
              <w:ind w:firstLine="0" w:firstLineChars="0"/>
              <w:rPr>
                <w:rFonts w:ascii="仿宋" w:hAnsi="仿宋" w:eastAsia="仿宋"/>
                <w:bCs/>
                <w:sz w:val="24"/>
              </w:rPr>
            </w:pPr>
            <w:r>
              <w:rPr>
                <w:rFonts w:hint="eastAsia" w:ascii="仿宋" w:hAnsi="仿宋" w:eastAsia="仿宋"/>
                <w:bCs/>
                <w:sz w:val="24"/>
              </w:rPr>
              <w:t>1.服务器</w:t>
            </w:r>
            <w:r>
              <w:rPr>
                <w:rFonts w:hint="eastAsia" w:ascii="仿宋" w:hAnsi="仿宋" w:eastAsia="仿宋"/>
                <w:bCs/>
                <w:sz w:val="24"/>
                <w:lang w:val="en-US" w:eastAsia="zh-CN"/>
              </w:rPr>
              <w:t>环境</w:t>
            </w:r>
            <w:r>
              <w:rPr>
                <w:rFonts w:hint="eastAsia" w:ascii="仿宋" w:hAnsi="仿宋" w:eastAsia="仿宋"/>
                <w:bCs/>
                <w:sz w:val="24"/>
              </w:rPr>
              <w:t>配置。全员人口数据库及基础支撑</w:t>
            </w:r>
            <w:r>
              <w:rPr>
                <w:rFonts w:hint="eastAsia" w:ascii="仿宋" w:hAnsi="仿宋" w:eastAsia="仿宋"/>
                <w:bCs/>
                <w:sz w:val="24"/>
                <w:lang w:val="en-US" w:eastAsia="zh-CN"/>
              </w:rPr>
              <w:t>涉及的28台服务器</w:t>
            </w:r>
            <w:r>
              <w:rPr>
                <w:rFonts w:hint="eastAsia" w:ascii="仿宋" w:hAnsi="仿宋" w:eastAsia="仿宋"/>
                <w:bCs/>
                <w:sz w:val="24"/>
              </w:rPr>
              <w:t>环境参数、相关服务及安全设置等，并定期升级操作系统补丁。</w:t>
            </w:r>
          </w:p>
        </w:tc>
      </w:tr>
      <w:tr>
        <w:tblPrEx>
          <w:tblCellMar>
            <w:top w:w="0" w:type="dxa"/>
            <w:left w:w="108" w:type="dxa"/>
            <w:bottom w:w="0" w:type="dxa"/>
            <w:right w:w="108" w:type="dxa"/>
          </w:tblCellMar>
        </w:tblPrEx>
        <w:trPr>
          <w:trHeight w:val="288" w:hRule="atLeast"/>
        </w:trPr>
        <w:tc>
          <w:tcPr>
            <w:tcW w:w="395"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top w:val="single" w:color="auto" w:sz="4" w:space="0"/>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tcPr>
          <w:p>
            <w:pPr>
              <w:pStyle w:val="13"/>
              <w:widowControl/>
              <w:ind w:firstLine="0" w:firstLineChars="0"/>
              <w:rPr>
                <w:rFonts w:hint="eastAsia" w:ascii="仿宋" w:hAnsi="仿宋" w:eastAsia="仿宋"/>
                <w:bCs/>
                <w:sz w:val="24"/>
                <w:lang w:val="en-US" w:eastAsia="zh-CN"/>
              </w:rPr>
            </w:pPr>
            <w:r>
              <w:rPr>
                <w:rFonts w:hint="eastAsia" w:ascii="仿宋" w:hAnsi="仿宋" w:eastAsia="仿宋"/>
                <w:bCs/>
                <w:sz w:val="24"/>
              </w:rPr>
              <w:t>2.</w:t>
            </w:r>
            <w:r>
              <w:rPr>
                <w:rFonts w:ascii="仿宋" w:hAnsi="仿宋" w:eastAsia="仿宋"/>
                <w:bCs/>
                <w:sz w:val="24"/>
              </w:rPr>
              <w:t>服务器</w:t>
            </w:r>
            <w:r>
              <w:rPr>
                <w:rFonts w:hint="eastAsia" w:ascii="仿宋" w:hAnsi="仿宋" w:eastAsia="仿宋"/>
                <w:bCs/>
                <w:sz w:val="24"/>
              </w:rPr>
              <w:t>空间清理</w:t>
            </w:r>
            <w:r>
              <w:rPr>
                <w:rFonts w:hint="eastAsia" w:ascii="仿宋" w:hAnsi="仿宋" w:eastAsia="仿宋"/>
                <w:bCs/>
                <w:sz w:val="24"/>
                <w:lang w:val="en-US" w:eastAsia="zh-CN"/>
              </w:rPr>
              <w:t>及性能优化</w:t>
            </w:r>
            <w:r>
              <w:rPr>
                <w:rFonts w:hint="eastAsia" w:ascii="仿宋" w:hAnsi="仿宋" w:eastAsia="仿宋"/>
                <w:bCs/>
                <w:sz w:val="24"/>
              </w:rPr>
              <w:t>。定期对全员人口数据库及基础支撑</w:t>
            </w:r>
            <w:r>
              <w:rPr>
                <w:rFonts w:hint="eastAsia" w:ascii="仿宋" w:hAnsi="仿宋" w:eastAsia="仿宋"/>
                <w:bCs/>
                <w:sz w:val="24"/>
                <w:lang w:val="en-US" w:eastAsia="zh-CN"/>
              </w:rPr>
              <w:t>涉及的28台服务器</w:t>
            </w:r>
            <w:r>
              <w:rPr>
                <w:rFonts w:hint="eastAsia" w:ascii="仿宋" w:hAnsi="仿宋" w:eastAsia="仿宋"/>
                <w:bCs/>
                <w:sz w:val="24"/>
              </w:rPr>
              <w:t>空间进行清理，保障服务器空间的充足，必要是进行服务器申请扩容</w:t>
            </w:r>
            <w:r>
              <w:rPr>
                <w:rFonts w:hint="eastAsia" w:ascii="仿宋" w:hAnsi="仿宋" w:eastAsia="仿宋"/>
                <w:bCs/>
                <w:sz w:val="24"/>
                <w:lang w:eastAsia="zh-CN"/>
              </w:rPr>
              <w:t>，</w:t>
            </w:r>
            <w:r>
              <w:rPr>
                <w:rFonts w:hint="eastAsia" w:ascii="仿宋" w:hAnsi="仿宋" w:eastAsia="仿宋"/>
                <w:bCs/>
                <w:sz w:val="24"/>
                <w:lang w:val="en-US" w:eastAsia="zh-CN"/>
              </w:rPr>
              <w:t>同时，开展</w:t>
            </w:r>
            <w:r>
              <w:rPr>
                <w:rFonts w:hint="eastAsia" w:ascii="仿宋" w:hAnsi="仿宋" w:eastAsia="仿宋"/>
                <w:bCs/>
                <w:sz w:val="24"/>
              </w:rPr>
              <w:t>内存优化、修改磁盘缓存等服务器性能优化</w:t>
            </w:r>
            <w:r>
              <w:rPr>
                <w:rFonts w:hint="eastAsia" w:ascii="仿宋" w:hAnsi="仿宋" w:eastAsia="仿宋"/>
                <w:bCs/>
                <w:sz w:val="24"/>
                <w:lang w:eastAsia="zh-CN"/>
              </w:rPr>
              <w:t>。</w:t>
            </w:r>
          </w:p>
        </w:tc>
      </w:tr>
      <w:tr>
        <w:tblPrEx>
          <w:tblCellMar>
            <w:top w:w="0" w:type="dxa"/>
            <w:left w:w="108" w:type="dxa"/>
            <w:bottom w:w="0" w:type="dxa"/>
            <w:right w:w="108" w:type="dxa"/>
          </w:tblCellMar>
        </w:tblPrEx>
        <w:trPr>
          <w:trHeight w:val="288" w:hRule="atLeast"/>
        </w:trPr>
        <w:tc>
          <w:tcPr>
            <w:tcW w:w="395"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top w:val="single" w:color="auto" w:sz="4" w:space="0"/>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tcPr>
          <w:p>
            <w:pPr>
              <w:pStyle w:val="13"/>
              <w:widowControl/>
              <w:ind w:firstLine="0" w:firstLineChars="0"/>
              <w:rPr>
                <w:rFonts w:ascii="仿宋" w:hAnsi="仿宋" w:eastAsia="仿宋"/>
                <w:bCs/>
                <w:sz w:val="24"/>
              </w:rPr>
            </w:pPr>
            <w:r>
              <w:rPr>
                <w:rFonts w:hint="eastAsia" w:ascii="仿宋" w:hAnsi="仿宋" w:eastAsia="仿宋"/>
                <w:bCs/>
                <w:sz w:val="24"/>
                <w:lang w:val="en-US" w:eastAsia="zh-CN"/>
              </w:rPr>
              <w:t>3</w:t>
            </w:r>
            <w:r>
              <w:rPr>
                <w:rFonts w:hint="eastAsia" w:ascii="仿宋" w:hAnsi="仿宋" w:eastAsia="仿宋"/>
                <w:bCs/>
                <w:sz w:val="24"/>
              </w:rPr>
              <w:t>.故障排查解决。对不定因素导制服务器的宕机，</w:t>
            </w:r>
            <w:r>
              <w:rPr>
                <w:rFonts w:hint="eastAsia" w:ascii="仿宋" w:hAnsi="仿宋" w:eastAsia="仿宋"/>
                <w:bCs/>
                <w:sz w:val="24"/>
                <w:lang w:val="en-US" w:eastAsia="zh-CN"/>
              </w:rPr>
              <w:t>协同机房运维厂商查找</w:t>
            </w:r>
            <w:r>
              <w:rPr>
                <w:rFonts w:hint="eastAsia" w:ascii="仿宋" w:hAnsi="仿宋" w:eastAsia="仿宋"/>
                <w:bCs/>
                <w:sz w:val="24"/>
              </w:rPr>
              <w:t>宕机原因，并向主管部门反馈，恢复服务器正常工作（包括服务器重新配置）。</w:t>
            </w:r>
          </w:p>
        </w:tc>
      </w:tr>
      <w:tr>
        <w:tblPrEx>
          <w:tblCellMar>
            <w:top w:w="0" w:type="dxa"/>
            <w:left w:w="108" w:type="dxa"/>
            <w:bottom w:w="0" w:type="dxa"/>
            <w:right w:w="108" w:type="dxa"/>
          </w:tblCellMar>
        </w:tblPrEx>
        <w:trPr>
          <w:trHeight w:val="288" w:hRule="atLeast"/>
        </w:trPr>
        <w:tc>
          <w:tcPr>
            <w:tcW w:w="395"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top w:val="single" w:color="auto" w:sz="4" w:space="0"/>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tcPr>
          <w:p>
            <w:pPr>
              <w:pStyle w:val="13"/>
              <w:widowControl/>
              <w:ind w:firstLine="0" w:firstLineChars="0"/>
              <w:rPr>
                <w:rFonts w:ascii="仿宋" w:hAnsi="仿宋" w:eastAsia="仿宋"/>
                <w:bCs/>
                <w:sz w:val="24"/>
              </w:rPr>
            </w:pPr>
            <w:r>
              <w:rPr>
                <w:rFonts w:hint="eastAsia" w:ascii="仿宋" w:hAnsi="仿宋" w:eastAsia="仿宋"/>
                <w:bCs/>
                <w:sz w:val="24"/>
                <w:lang w:val="en-US" w:eastAsia="zh-CN"/>
              </w:rPr>
              <w:t>4</w:t>
            </w:r>
            <w:r>
              <w:rPr>
                <w:rFonts w:hint="eastAsia" w:ascii="仿宋" w:hAnsi="仿宋" w:eastAsia="仿宋"/>
                <w:bCs/>
                <w:sz w:val="24"/>
              </w:rPr>
              <w:t>.定期巡检。安排专人对服务器进行巡检，查看服务器的</w:t>
            </w:r>
            <w:r>
              <w:rPr>
                <w:rFonts w:ascii="仿宋" w:hAnsi="仿宋" w:eastAsia="仿宋"/>
                <w:bCs/>
                <w:sz w:val="24"/>
              </w:rPr>
              <w:t>CPU、负载、磁盘空间、网络流量、服务器日志等。</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2</w:t>
            </w:r>
          </w:p>
        </w:tc>
        <w:tc>
          <w:tcPr>
            <w:tcW w:w="1365" w:type="pct"/>
            <w:vMerge w:val="restart"/>
            <w:tcBorders>
              <w:top w:val="single" w:color="auto" w:sz="4" w:space="0"/>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r>
              <w:rPr>
                <w:rFonts w:hint="eastAsia" w:ascii="仿宋" w:hAnsi="仿宋" w:eastAsia="仿宋"/>
                <w:bCs/>
                <w:sz w:val="24"/>
              </w:rPr>
              <w:t>网络运行支撑及安全维护</w:t>
            </w: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 xml:space="preserve">1. </w:t>
            </w:r>
            <w:r>
              <w:rPr>
                <w:rFonts w:ascii="仿宋" w:hAnsi="仿宋" w:eastAsia="仿宋"/>
                <w:bCs/>
                <w:sz w:val="24"/>
              </w:rPr>
              <w:t>VPN网络维护</w:t>
            </w:r>
            <w:r>
              <w:rPr>
                <w:rFonts w:hint="eastAsia" w:ascii="仿宋" w:hAnsi="仿宋" w:eastAsia="仿宋"/>
                <w:bCs/>
                <w:sz w:val="24"/>
              </w:rPr>
              <w:t>。监控省、市、县三级网关到网关</w:t>
            </w:r>
            <w:r>
              <w:rPr>
                <w:rFonts w:ascii="仿宋" w:hAnsi="仿宋" w:eastAsia="仿宋"/>
                <w:bCs/>
                <w:sz w:val="24"/>
              </w:rPr>
              <w:t>VPN网络连接情况，当其与上级或下级专网连通出现故障时，及时检修。</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2．</w:t>
            </w:r>
            <w:r>
              <w:rPr>
                <w:rFonts w:ascii="仿宋" w:hAnsi="仿宋" w:eastAsia="仿宋"/>
                <w:bCs/>
                <w:sz w:val="24"/>
              </w:rPr>
              <w:t>VPN连接重新配置</w:t>
            </w:r>
            <w:r>
              <w:rPr>
                <w:rFonts w:hint="eastAsia" w:ascii="仿宋" w:hAnsi="仿宋" w:eastAsia="仿宋"/>
                <w:bCs/>
                <w:sz w:val="24"/>
              </w:rPr>
              <w:t>。因VPN网络服务器或网络发生变更，根据省、市、县要求，远程重新配置VPN连接。</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hint="eastAsia" w:ascii="仿宋" w:hAnsi="仿宋" w:eastAsia="仿宋"/>
                <w:bCs/>
                <w:sz w:val="24"/>
              </w:rPr>
            </w:pPr>
            <w:r>
              <w:rPr>
                <w:rFonts w:hint="eastAsia" w:ascii="仿宋" w:hAnsi="仿宋" w:eastAsia="仿宋"/>
                <w:bCs/>
                <w:sz w:val="24"/>
                <w:lang w:val="en-US" w:eastAsia="zh-CN"/>
              </w:rPr>
              <w:t>3.</w:t>
            </w:r>
            <w:r>
              <w:rPr>
                <w:rFonts w:hint="eastAsia" w:ascii="仿宋" w:hAnsi="仿宋" w:eastAsia="仿宋"/>
                <w:bCs/>
                <w:sz w:val="24"/>
              </w:rPr>
              <w:t>基层指导和答疑。对省、市、县市区、乡镇（街道）、村居的客户端电脑VPN连接操作进行指导和答疑，并提供远程协助方式查找原因并建立VPN连接。</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4.根据</w:t>
            </w:r>
            <w:r>
              <w:rPr>
                <w:rFonts w:hint="eastAsia" w:ascii="仿宋" w:hAnsi="仿宋" w:eastAsia="仿宋"/>
                <w:bCs/>
                <w:sz w:val="24"/>
              </w:rPr>
              <w:t>市、县</w:t>
            </w:r>
            <w:r>
              <w:rPr>
                <w:rFonts w:hint="eastAsia" w:ascii="仿宋" w:hAnsi="仿宋" w:eastAsia="仿宋"/>
                <w:bCs/>
                <w:sz w:val="24"/>
                <w:lang w:val="en-US" w:eastAsia="zh-CN"/>
              </w:rPr>
              <w:t>卫健部门需要，配合其开展人口VPN切割更换卫生健康专网VPN事宜。</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bottom w:val="single" w:color="auto" w:sz="4" w:space="0"/>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lang w:val="en-US" w:eastAsia="zh-CN"/>
              </w:rPr>
              <w:t>5</w:t>
            </w:r>
            <w:r>
              <w:rPr>
                <w:rFonts w:hint="eastAsia" w:ascii="仿宋" w:hAnsi="仿宋" w:eastAsia="仿宋"/>
                <w:bCs/>
                <w:sz w:val="24"/>
              </w:rPr>
              <w:t>.网络安全维护。</w:t>
            </w:r>
            <w:r>
              <w:rPr>
                <w:rFonts w:ascii="仿宋" w:hAnsi="仿宋" w:eastAsia="仿宋"/>
                <w:bCs/>
                <w:sz w:val="24"/>
              </w:rPr>
              <w:t>设置定期修改密码并限定密码强度的策略</w:t>
            </w:r>
            <w:r>
              <w:rPr>
                <w:rFonts w:hint="eastAsia" w:ascii="仿宋" w:hAnsi="仿宋" w:eastAsia="仿宋"/>
                <w:bCs/>
                <w:sz w:val="24"/>
              </w:rPr>
              <w:t>、关闭不必要端口、定期对服务器网络安全进行配置升级、特殊时期值守进行防病毒维护服务、安全扫描的服务器漏洞问题提出解决方案并</w:t>
            </w:r>
            <w:r>
              <w:rPr>
                <w:rFonts w:ascii="仿宋" w:hAnsi="仿宋" w:eastAsia="仿宋"/>
                <w:bCs/>
                <w:sz w:val="24"/>
              </w:rPr>
              <w:t>及时修补漏洞</w:t>
            </w:r>
            <w:r>
              <w:rPr>
                <w:rFonts w:hint="eastAsia" w:ascii="仿宋" w:hAnsi="仿宋" w:eastAsia="仿宋"/>
                <w:bCs/>
                <w:sz w:val="24"/>
              </w:rPr>
              <w:t>，加强安全防护。</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3</w:t>
            </w:r>
          </w:p>
        </w:tc>
        <w:tc>
          <w:tcPr>
            <w:tcW w:w="1365" w:type="pct"/>
            <w:vMerge w:val="restart"/>
            <w:tcBorders>
              <w:top w:val="single" w:color="auto" w:sz="4" w:space="0"/>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r>
              <w:rPr>
                <w:rFonts w:hint="eastAsia" w:ascii="仿宋" w:hAnsi="仿宋" w:eastAsia="仿宋"/>
                <w:bCs/>
                <w:sz w:val="24"/>
              </w:rPr>
              <w:t>全员人口数据汇聚</w:t>
            </w:r>
          </w:p>
          <w:p>
            <w:pPr>
              <w:pStyle w:val="13"/>
              <w:widowControl/>
              <w:spacing w:line="360" w:lineRule="auto"/>
              <w:ind w:firstLine="0" w:firstLineChars="0"/>
              <w:rPr>
                <w:rFonts w:ascii="仿宋" w:hAnsi="仿宋" w:eastAsia="仿宋"/>
                <w:bCs/>
                <w:sz w:val="24"/>
              </w:rPr>
            </w:pPr>
            <w:r>
              <w:rPr>
                <w:rFonts w:hint="eastAsia" w:ascii="仿宋" w:hAnsi="仿宋" w:eastAsia="仿宋"/>
                <w:bCs/>
                <w:sz w:val="24"/>
              </w:rPr>
              <w:t>及数据治理维护</w:t>
            </w: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1. 省级数据中心的数据库维护。提供稳定可靠的数据库支撑，主要完成以下工作：</w:t>
            </w:r>
            <w:r>
              <w:rPr>
                <w:rFonts w:ascii="仿宋" w:hAnsi="仿宋" w:eastAsia="仿宋"/>
                <w:bCs/>
                <w:sz w:val="24"/>
              </w:rPr>
              <w:br w:type="textWrapping"/>
            </w:r>
            <w:r>
              <w:rPr>
                <w:rFonts w:hint="eastAsia" w:ascii="仿宋" w:hAnsi="仿宋" w:eastAsia="仿宋"/>
                <w:bCs/>
                <w:sz w:val="24"/>
              </w:rPr>
              <w:t>1）每半个月为周期的17个市州全员人口数据库数据的集中合并、归档，用于统计、考核。因硬盘空间有限，及时迁移历史数据库到备份存储设备中。</w:t>
            </w:r>
          </w:p>
          <w:p>
            <w:pPr>
              <w:pStyle w:val="13"/>
              <w:widowControl/>
              <w:ind w:firstLine="0" w:firstLineChars="0"/>
              <w:rPr>
                <w:rFonts w:ascii="仿宋" w:hAnsi="仿宋" w:eastAsia="仿宋"/>
                <w:bCs/>
                <w:sz w:val="24"/>
              </w:rPr>
            </w:pPr>
            <w:r>
              <w:rPr>
                <w:rFonts w:hint="eastAsia" w:ascii="仿宋" w:hAnsi="仿宋" w:eastAsia="仿宋"/>
                <w:bCs/>
                <w:sz w:val="24"/>
              </w:rPr>
              <w:t>2)每晚定时定点由17个市州全员人口数据库数据自动增量同步合并，用于全员人口信息底层支撑数据库，定期抽查同步复制作业调度历史记录，监测同步复制的成功与失败。查找失败原因，并及时修正或人工同步合并复制。</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2．数据备份。对省本级、17个市数据服务器按照一定策略，实现系统数据库每天按时自动备份。因硬盘空间有限，及时迁移历史数据库到备份存储设备中。</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3．数据治理。为提高对外提供的全员人口数据质量，将对外提供的全员人口数据进行清洗、转换、过滤等。确保数据信息一致性、完整性、可用性等。</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4. 数据库运行监测。对省级数据中心的各个数据库日志进行备份，做好数据库日志的保存。根据数据库运行日志监控数据库运行情况，在数据库出现异常时，可以根据日志分析相关原因。</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5. 性能优化。定期根据数据库服务及IIS的运行情况，调整数据库结构及IIS配置，对其性能进行优化，提高并发性和响应速度。</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bottom w:val="single" w:color="auto" w:sz="4" w:space="0"/>
              <w:right w:val="single" w:color="auto" w:sz="4" w:space="0"/>
            </w:tcBorders>
            <w:shd w:val="clear" w:color="auto" w:fill="auto"/>
            <w:vAlign w:val="center"/>
          </w:tcPr>
          <w:p>
            <w:pPr>
              <w:pStyle w:val="13"/>
              <w:widowControl/>
              <w:spacing w:line="360" w:lineRule="auto"/>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6.</w:t>
            </w:r>
            <w:r>
              <w:rPr>
                <w:rFonts w:ascii="仿宋" w:hAnsi="仿宋" w:eastAsia="仿宋"/>
                <w:bCs/>
                <w:sz w:val="24"/>
              </w:rPr>
              <w:t xml:space="preserve"> 数据资产管理</w:t>
            </w:r>
            <w:r>
              <w:rPr>
                <w:rFonts w:hint="eastAsia" w:ascii="仿宋" w:hAnsi="仿宋" w:eastAsia="仿宋"/>
                <w:bCs/>
                <w:sz w:val="24"/>
              </w:rPr>
              <w:t>。1）整理信息化数据资产清单，每年进行一次归档。2）保障全员人口相关数据资产的有效管理，保障数据安全，确保不发生业务数据丢失事故。数据管理服务的运维范围包括：数据库数据、应用程序文件、配置文件、上传的资料、信息化建设和运维过程中产生的技术资料、过程文档等数据。</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4</w:t>
            </w:r>
          </w:p>
        </w:tc>
        <w:tc>
          <w:tcPr>
            <w:tcW w:w="1365" w:type="pct"/>
            <w:vMerge w:val="restart"/>
            <w:tcBorders>
              <w:top w:val="single" w:color="auto" w:sz="4" w:space="0"/>
              <w:left w:val="nil"/>
              <w:right w:val="single" w:color="auto" w:sz="4" w:space="0"/>
            </w:tcBorders>
            <w:shd w:val="clear" w:color="auto" w:fill="auto"/>
            <w:vAlign w:val="center"/>
          </w:tcPr>
          <w:p>
            <w:pPr>
              <w:pStyle w:val="13"/>
              <w:ind w:firstLine="0" w:firstLineChars="0"/>
              <w:rPr>
                <w:rFonts w:ascii="仿宋" w:hAnsi="仿宋" w:eastAsia="仿宋"/>
                <w:bCs/>
                <w:sz w:val="24"/>
              </w:rPr>
            </w:pPr>
            <w:r>
              <w:rPr>
                <w:rFonts w:hint="eastAsia" w:ascii="仿宋" w:hAnsi="仿宋" w:eastAsia="仿宋"/>
                <w:bCs/>
                <w:sz w:val="24"/>
              </w:rPr>
              <w:t>行政区划变动维护</w:t>
            </w: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1. 行政区划新增。依据国家卫健委统一要求，对需要新增区划所在的全员数据库进行行政区划新增，并对应管理登记单位进行变更。</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2．行政区划更名。依据国家卫健委统一要求，对需要更名区划所在的全员数据库进行行政区划更名，并对应管理登记单位、成员的现居地、户籍地等进行变更。</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3．行政区划删除。依据国家卫健委统一要求，对需要删除区划所在的全员数据库进行行政区划删除，并对应管理登记单位、成员的现居地、户籍地等进行变更(现居地、户籍地、流动地点等)。行政区划删除后，对全员人口数据库中登记在该行政单位下的数据进行删除。</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4．行政区划合并。依据国家卫健委统一要求，对需要合并区划所在的全员数据库进行行政区划合并，并对应管理登记单位、成员的现居地、户籍地等进行合并。行政区划合并后，对全员人口数据库中登记在该行政单位下的数据进行整合</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5．全员人口数据迁移。依据国家卫健委统一要求，对需要迁移区划所在的全员数据库数据进行行政区划迁移，并对应建卡单位、成员的现居地、户籍地等进行迁移。</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6. 湖北省行政区划映射系统初始化。每半年对《湖北省行政区划映射系统》进行初始化工作，包括国家PADIS行政区划的导入、湖北省全员人口数据库中行政区划导入，历史区划映射备份、新区划映射关系准备。</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bottom w:val="single" w:color="auto" w:sz="4" w:space="0"/>
              <w:right w:val="single" w:color="auto" w:sz="4" w:space="0"/>
            </w:tcBorders>
            <w:shd w:val="clear" w:color="auto" w:fill="auto"/>
            <w:vAlign w:val="center"/>
          </w:tcPr>
          <w:p>
            <w:pPr>
              <w:pStyle w:val="13"/>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7.</w:t>
            </w:r>
            <w:r>
              <w:rPr>
                <w:rFonts w:ascii="仿宋" w:hAnsi="仿宋" w:eastAsia="仿宋"/>
                <w:bCs/>
                <w:sz w:val="24"/>
              </w:rPr>
              <w:t xml:space="preserve"> 业务系统区划调整</w:t>
            </w:r>
            <w:r>
              <w:rPr>
                <w:rFonts w:hint="eastAsia" w:ascii="仿宋" w:hAnsi="仿宋" w:eastAsia="仿宋"/>
                <w:bCs/>
                <w:sz w:val="24"/>
              </w:rPr>
              <w:t>。在全员数据库数据的行政区划变动完成后，对涉及全员人口数据相关</w:t>
            </w:r>
            <w:r>
              <w:rPr>
                <w:rFonts w:ascii="仿宋" w:hAnsi="仿宋" w:eastAsia="仿宋"/>
                <w:bCs/>
                <w:sz w:val="24"/>
              </w:rPr>
              <w:t>业务系统</w:t>
            </w:r>
            <w:r>
              <w:rPr>
                <w:rFonts w:hint="eastAsia" w:ascii="仿宋" w:hAnsi="仿宋" w:eastAsia="仿宋"/>
                <w:bCs/>
                <w:sz w:val="24"/>
              </w:rPr>
              <w:t>中行政区划进行相应调整。</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5</w:t>
            </w:r>
          </w:p>
        </w:tc>
        <w:tc>
          <w:tcPr>
            <w:tcW w:w="1365" w:type="pct"/>
            <w:vMerge w:val="restart"/>
            <w:tcBorders>
              <w:top w:val="single" w:color="auto" w:sz="4" w:space="0"/>
              <w:left w:val="nil"/>
              <w:right w:val="single" w:color="auto" w:sz="4" w:space="0"/>
            </w:tcBorders>
            <w:shd w:val="clear" w:color="auto" w:fill="auto"/>
            <w:vAlign w:val="center"/>
          </w:tcPr>
          <w:p>
            <w:pPr>
              <w:pStyle w:val="13"/>
              <w:ind w:firstLine="0" w:firstLineChars="0"/>
              <w:rPr>
                <w:rFonts w:ascii="仿宋" w:hAnsi="仿宋" w:eastAsia="仿宋"/>
                <w:bCs/>
                <w:sz w:val="24"/>
              </w:rPr>
            </w:pPr>
            <w:r>
              <w:rPr>
                <w:rFonts w:hint="eastAsia" w:ascii="仿宋" w:hAnsi="仿宋" w:eastAsia="仿宋"/>
                <w:bCs/>
                <w:sz w:val="24"/>
              </w:rPr>
              <w:t>全员人口数据</w:t>
            </w:r>
          </w:p>
          <w:p>
            <w:pPr>
              <w:pStyle w:val="13"/>
              <w:ind w:firstLine="0" w:firstLineChars="0"/>
              <w:rPr>
                <w:rFonts w:ascii="仿宋" w:hAnsi="仿宋" w:eastAsia="仿宋"/>
                <w:bCs/>
                <w:sz w:val="24"/>
              </w:rPr>
            </w:pPr>
            <w:r>
              <w:rPr>
                <w:rFonts w:hint="eastAsia" w:ascii="仿宋" w:hAnsi="仿宋" w:eastAsia="仿宋"/>
                <w:bCs/>
                <w:sz w:val="24"/>
              </w:rPr>
              <w:t>与国家互联互通</w:t>
            </w: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1．全员人口个案库整理上报及反馈。</w:t>
            </w:r>
          </w:p>
          <w:p>
            <w:pPr>
              <w:pStyle w:val="13"/>
              <w:widowControl/>
              <w:ind w:firstLine="0" w:firstLineChars="0"/>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全量数据文件上报。按照国家卫生健康委统计信息中心要求和数据上报规范文档，生成</w:t>
            </w:r>
            <w:r>
              <w:rPr>
                <w:rFonts w:hint="eastAsia" w:ascii="仿宋" w:hAnsi="仿宋" w:eastAsia="仿宋"/>
                <w:bCs/>
                <w:sz w:val="24"/>
              </w:rPr>
              <w:t>全员人口基础信息</w:t>
            </w:r>
            <w:r>
              <w:rPr>
                <w:rFonts w:hint="eastAsia" w:ascii="仿宋" w:hAnsi="仿宋" w:eastAsia="仿宋"/>
                <w:bCs/>
                <w:sz w:val="24"/>
                <w:lang w:eastAsia="zh-CN"/>
              </w:rPr>
              <w:t>、</w:t>
            </w:r>
            <w:r>
              <w:rPr>
                <w:rFonts w:hint="eastAsia" w:ascii="仿宋" w:hAnsi="仿宋" w:eastAsia="仿宋"/>
                <w:bCs/>
                <w:sz w:val="24"/>
              </w:rPr>
              <w:t>育龄妇女</w:t>
            </w:r>
            <w:r>
              <w:rPr>
                <w:rFonts w:hint="eastAsia" w:ascii="仿宋" w:hAnsi="仿宋" w:eastAsia="仿宋"/>
                <w:bCs/>
                <w:sz w:val="24"/>
                <w:lang w:val="en-US" w:eastAsia="zh-CN"/>
              </w:rPr>
              <w:t>生</w:t>
            </w:r>
            <w:r>
              <w:rPr>
                <w:rFonts w:hint="eastAsia" w:ascii="仿宋" w:hAnsi="仿宋" w:eastAsia="仿宋"/>
                <w:bCs/>
                <w:sz w:val="24"/>
              </w:rPr>
              <w:t>育信息</w:t>
            </w:r>
            <w:r>
              <w:rPr>
                <w:rFonts w:hint="eastAsia" w:ascii="仿宋" w:hAnsi="仿宋" w:eastAsia="仿宋"/>
                <w:bCs/>
                <w:sz w:val="24"/>
                <w:lang w:eastAsia="zh-CN"/>
              </w:rPr>
              <w:t>、</w:t>
            </w:r>
            <w:r>
              <w:rPr>
                <w:rFonts w:hint="eastAsia" w:ascii="仿宋" w:hAnsi="仿宋" w:eastAsia="仿宋"/>
                <w:bCs/>
                <w:sz w:val="24"/>
              </w:rPr>
              <w:t>死亡人口信息</w:t>
            </w:r>
            <w:r>
              <w:rPr>
                <w:rFonts w:hint="eastAsia" w:ascii="仿宋" w:hAnsi="仿宋" w:eastAsia="仿宋"/>
                <w:bCs/>
                <w:sz w:val="24"/>
                <w:lang w:val="en-US" w:eastAsia="zh-CN"/>
              </w:rPr>
              <w:t>3项全量数据，并做数据质量校验，完成数据全量上报</w:t>
            </w:r>
            <w:r>
              <w:rPr>
                <w:rFonts w:hint="eastAsia" w:ascii="仿宋" w:hAnsi="仿宋" w:eastAsia="仿宋"/>
                <w:bCs/>
                <w:sz w:val="24"/>
              </w:rPr>
              <w:t>。</w:t>
            </w:r>
          </w:p>
          <w:p>
            <w:pPr>
              <w:pStyle w:val="13"/>
              <w:widowControl/>
              <w:ind w:firstLine="0" w:firstLineChars="0"/>
              <w:rPr>
                <w:rFonts w:hint="default" w:ascii="仿宋" w:hAnsi="仿宋" w:eastAsia="仿宋"/>
                <w:bCs/>
                <w:sz w:val="24"/>
                <w:lang w:val="en-US" w:eastAsia="zh-CN"/>
              </w:rPr>
            </w:pPr>
            <w:r>
              <w:rPr>
                <w:rFonts w:hint="eastAsia" w:ascii="仿宋" w:hAnsi="仿宋" w:eastAsia="仿宋"/>
                <w:bCs/>
                <w:sz w:val="24"/>
              </w:rPr>
              <w:t>（2）</w:t>
            </w:r>
            <w:r>
              <w:rPr>
                <w:rFonts w:hint="eastAsia" w:ascii="仿宋" w:hAnsi="仿宋" w:eastAsia="仿宋"/>
                <w:bCs/>
                <w:sz w:val="24"/>
                <w:lang w:val="en-US" w:eastAsia="zh-CN"/>
              </w:rPr>
              <w:t>增量数据上报</w:t>
            </w:r>
            <w:r>
              <w:rPr>
                <w:rFonts w:hint="eastAsia" w:ascii="仿宋" w:hAnsi="仿宋" w:eastAsia="仿宋"/>
                <w:bCs/>
                <w:sz w:val="24"/>
              </w:rPr>
              <w:t>。</w:t>
            </w:r>
            <w:r>
              <w:rPr>
                <w:rFonts w:hint="eastAsia" w:ascii="仿宋" w:hAnsi="仿宋" w:eastAsia="仿宋"/>
                <w:bCs/>
                <w:sz w:val="24"/>
                <w:lang w:val="en-US" w:eastAsia="zh-CN"/>
              </w:rPr>
              <w:t>在完成本年度全量数据上报后，启动</w:t>
            </w:r>
            <w:r>
              <w:rPr>
                <w:rFonts w:hint="eastAsia" w:ascii="仿宋" w:hAnsi="仿宋" w:eastAsia="仿宋"/>
                <w:bCs/>
                <w:sz w:val="24"/>
              </w:rPr>
              <w:t>全员人口基础信息</w:t>
            </w:r>
            <w:r>
              <w:rPr>
                <w:rFonts w:hint="eastAsia" w:ascii="仿宋" w:hAnsi="仿宋" w:eastAsia="仿宋"/>
                <w:bCs/>
                <w:sz w:val="24"/>
                <w:lang w:val="en-US" w:eastAsia="zh-CN"/>
              </w:rPr>
              <w:t>等9个数据上报接口</w:t>
            </w:r>
            <w:r>
              <w:rPr>
                <w:rFonts w:hint="eastAsia" w:ascii="仿宋" w:hAnsi="仿宋" w:eastAsia="仿宋"/>
                <w:bCs/>
                <w:sz w:val="24"/>
                <w:lang w:eastAsia="zh-CN"/>
              </w:rPr>
              <w:t>，</w:t>
            </w:r>
            <w:r>
              <w:rPr>
                <w:rFonts w:hint="eastAsia" w:ascii="仿宋" w:hAnsi="仿宋" w:eastAsia="仿宋"/>
                <w:bCs/>
                <w:sz w:val="24"/>
                <w:lang w:val="en-US" w:eastAsia="zh-CN"/>
              </w:rPr>
              <w:t>开展增量数据上报。监测增量数据上报情况，针对上报异常，及时处理，保障增量数据通过接口完整上报国家。</w:t>
            </w:r>
          </w:p>
          <w:p>
            <w:pPr>
              <w:pStyle w:val="13"/>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（3）国家数据校核反馈监测。国家通过大数据比对，将我省异常数据下发至我省，监测国家下发数据的接收及反馈情况。</w:t>
            </w:r>
          </w:p>
          <w:p>
            <w:pPr>
              <w:pStyle w:val="13"/>
              <w:widowControl/>
              <w:numPr>
                <w:ilvl w:val="0"/>
                <w:numId w:val="0"/>
              </w:numPr>
              <w:rPr>
                <w:rFonts w:hint="default" w:ascii="仿宋" w:hAnsi="仿宋" w:eastAsia="仿宋"/>
                <w:bCs/>
                <w:sz w:val="24"/>
                <w:lang w:val="en-US" w:eastAsia="zh-CN"/>
              </w:rPr>
            </w:pPr>
            <w:r>
              <w:rPr>
                <w:rFonts w:hint="eastAsia" w:ascii="仿宋" w:hAnsi="仿宋" w:eastAsia="仿宋"/>
                <w:bCs/>
                <w:sz w:val="24"/>
                <w:lang w:val="en-US" w:eastAsia="zh-CN"/>
              </w:rPr>
              <w:t>（4）数据对账监测。建立省级-国家数据上报对账机制。为保证我省上报数据质量，在规定的时间内完成国家各项数据上报任务，开展数据上传对账监测，从上报数据类别、数据上报时间、上报总量等不同的维度进行统计，保证数据推送-接收一致，便于排查问题所在。</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pStyle w:val="13"/>
              <w:ind w:firstLine="0" w:firstLineChars="0"/>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lang w:val="en-US" w:eastAsia="zh-CN"/>
              </w:rPr>
              <w:t>2</w:t>
            </w:r>
            <w:r>
              <w:rPr>
                <w:rFonts w:ascii="仿宋" w:hAnsi="仿宋" w:eastAsia="仿宋"/>
                <w:bCs/>
                <w:sz w:val="24"/>
              </w:rPr>
              <w:t>.</w:t>
            </w:r>
            <w:r>
              <w:rPr>
                <w:rFonts w:hint="eastAsia" w:ascii="仿宋" w:hAnsi="仿宋" w:eastAsia="仿宋"/>
                <w:bCs/>
                <w:sz w:val="24"/>
                <w:lang w:val="en-US" w:eastAsia="zh-CN"/>
              </w:rPr>
              <w:t>生育登记</w:t>
            </w:r>
            <w:r>
              <w:rPr>
                <w:rFonts w:hint="eastAsia" w:ascii="仿宋" w:hAnsi="仿宋" w:eastAsia="仿宋"/>
                <w:bCs/>
                <w:sz w:val="24"/>
              </w:rPr>
              <w:t>业务信息互联互通。</w:t>
            </w:r>
          </w:p>
          <w:p>
            <w:pPr>
              <w:pStyle w:val="13"/>
              <w:widowControl/>
              <w:ind w:firstLine="0" w:firstLineChars="0"/>
              <w:rPr>
                <w:rFonts w:ascii="仿宋" w:hAnsi="仿宋" w:eastAsia="仿宋"/>
                <w:bCs/>
                <w:sz w:val="24"/>
              </w:rPr>
            </w:pPr>
            <w:r>
              <w:rPr>
                <w:rFonts w:hint="eastAsia" w:ascii="仿宋" w:hAnsi="仿宋" w:eastAsia="仿宋"/>
                <w:bCs/>
                <w:sz w:val="24"/>
              </w:rPr>
              <w:t>（</w:t>
            </w:r>
            <w:r>
              <w:rPr>
                <w:rFonts w:hint="eastAsia" w:ascii="仿宋" w:hAnsi="仿宋" w:eastAsia="仿宋"/>
                <w:bCs/>
                <w:sz w:val="24"/>
                <w:lang w:val="en-US" w:eastAsia="zh-CN"/>
              </w:rPr>
              <w:t>1</w:t>
            </w:r>
            <w:r>
              <w:rPr>
                <w:rFonts w:hint="eastAsia" w:ascii="仿宋" w:hAnsi="仿宋" w:eastAsia="仿宋"/>
                <w:bCs/>
                <w:sz w:val="24"/>
              </w:rPr>
              <w:t>）出生人口信息数据、生育登记及再生育办理信息推送。依据国家</w:t>
            </w:r>
            <w:r>
              <w:rPr>
                <w:rFonts w:hint="eastAsia" w:ascii="仿宋" w:hAnsi="仿宋" w:eastAsia="仿宋"/>
                <w:bCs/>
                <w:sz w:val="24"/>
                <w:lang w:val="en-US" w:eastAsia="zh-CN"/>
              </w:rPr>
              <w:t>卫生健康委人发中心关于</w:t>
            </w:r>
            <w:r>
              <w:rPr>
                <w:rFonts w:hint="eastAsia" w:ascii="仿宋" w:hAnsi="仿宋" w:eastAsia="仿宋"/>
                <w:bCs/>
                <w:sz w:val="24"/>
              </w:rPr>
              <w:t>计划生育业务信息互联互通信息报送要求，调整优化接口，接收国家推送的出生人口信息和生育登记及再生育办理信息，并根据业务需要，将接收的信息推送给其他业务系统。对接收日志、推送日志进行存档。</w:t>
            </w:r>
          </w:p>
          <w:p>
            <w:pPr>
              <w:pStyle w:val="13"/>
              <w:widowControl/>
              <w:ind w:firstLine="0" w:firstLineChars="0"/>
              <w:rPr>
                <w:rFonts w:hint="eastAsia" w:ascii="仿宋" w:hAnsi="仿宋" w:eastAsia="仿宋"/>
                <w:bCs/>
                <w:sz w:val="24"/>
              </w:rPr>
            </w:pPr>
            <w:r>
              <w:rPr>
                <w:rFonts w:hint="eastAsia" w:ascii="仿宋" w:hAnsi="仿宋" w:eastAsia="仿宋"/>
                <w:bCs/>
                <w:sz w:val="24"/>
              </w:rPr>
              <w:t>（</w:t>
            </w:r>
            <w:r>
              <w:rPr>
                <w:rFonts w:hint="eastAsia" w:ascii="仿宋" w:hAnsi="仿宋" w:eastAsia="仿宋"/>
                <w:bCs/>
                <w:sz w:val="24"/>
                <w:lang w:val="en-US" w:eastAsia="zh-CN"/>
              </w:rPr>
              <w:t>2</w:t>
            </w:r>
            <w:r>
              <w:rPr>
                <w:rFonts w:hint="eastAsia" w:ascii="仿宋" w:hAnsi="仿宋" w:eastAsia="仿宋"/>
                <w:bCs/>
                <w:sz w:val="24"/>
              </w:rPr>
              <w:t>）数据上报质量分析。根据国家下发的“全国各省份计划生育信息互联互通工作情况通报”文件，进行数据上报质量分析，反馈给相关领导，必要时调整数据抓取口径。</w:t>
            </w:r>
          </w:p>
          <w:p>
            <w:pPr>
              <w:pStyle w:val="13"/>
              <w:widowControl/>
              <w:ind w:firstLine="0" w:firstLineChars="0"/>
              <w:rPr>
                <w:rFonts w:hint="default" w:ascii="仿宋" w:hAnsi="仿宋" w:eastAsia="仿宋"/>
                <w:bCs/>
                <w:sz w:val="24"/>
                <w:lang w:val="en-US" w:eastAsia="zh-CN"/>
              </w:rPr>
            </w:pPr>
            <w:r>
              <w:rPr>
                <w:rFonts w:hint="eastAsia" w:ascii="仿宋" w:hAnsi="仿宋" w:eastAsia="仿宋"/>
                <w:bCs/>
                <w:sz w:val="24"/>
                <w:lang w:eastAsia="zh-CN"/>
              </w:rPr>
              <w:t>（</w:t>
            </w:r>
            <w:r>
              <w:rPr>
                <w:rFonts w:hint="eastAsia" w:ascii="仿宋" w:hAnsi="仿宋" w:eastAsia="仿宋"/>
                <w:bCs/>
                <w:sz w:val="24"/>
                <w:lang w:val="en-US" w:eastAsia="zh-CN"/>
              </w:rPr>
              <w:t>3</w:t>
            </w:r>
            <w:r>
              <w:rPr>
                <w:rFonts w:hint="eastAsia" w:ascii="仿宋" w:hAnsi="仿宋" w:eastAsia="仿宋"/>
                <w:bCs/>
                <w:sz w:val="24"/>
                <w:lang w:eastAsia="zh-CN"/>
              </w:rPr>
              <w:t>）</w:t>
            </w:r>
            <w:r>
              <w:rPr>
                <w:rFonts w:hint="eastAsia" w:ascii="仿宋" w:hAnsi="仿宋" w:eastAsia="仿宋"/>
                <w:bCs/>
                <w:sz w:val="24"/>
                <w:lang w:val="en-US" w:eastAsia="zh-CN"/>
              </w:rPr>
              <w:t>数据互联互通情况数据对账。与妇幼健康的出生分娩数据数、全员人口出生登记数、数据上报国家数等分月份、分季度对账，对账反馈给人口家庭处。</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ascii="仿宋" w:hAnsi="仿宋" w:eastAsia="仿宋"/>
                <w:bCs/>
                <w:sz w:val="24"/>
              </w:rPr>
              <w:t>6</w:t>
            </w:r>
          </w:p>
        </w:tc>
        <w:tc>
          <w:tcPr>
            <w:tcW w:w="1365" w:type="pct"/>
            <w:vMerge w:val="restart"/>
            <w:tcBorders>
              <w:top w:val="single" w:color="auto" w:sz="4" w:space="0"/>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全员人口数据</w:t>
            </w:r>
          </w:p>
          <w:p>
            <w:pPr>
              <w:pStyle w:val="13"/>
              <w:widowControl/>
              <w:ind w:firstLine="0" w:firstLineChars="0"/>
              <w:rPr>
                <w:rFonts w:ascii="仿宋" w:hAnsi="仿宋" w:eastAsia="仿宋"/>
                <w:bCs/>
                <w:sz w:val="24"/>
              </w:rPr>
            </w:pPr>
            <w:r>
              <w:rPr>
                <w:rFonts w:hint="eastAsia" w:ascii="仿宋" w:hAnsi="仿宋" w:eastAsia="仿宋"/>
                <w:bCs/>
                <w:sz w:val="24"/>
              </w:rPr>
              <w:t>省内共享交换</w:t>
            </w: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1. 与</w:t>
            </w:r>
            <w:r>
              <w:rPr>
                <w:rFonts w:hint="eastAsia" w:ascii="仿宋" w:hAnsi="仿宋" w:eastAsia="仿宋"/>
                <w:bCs/>
                <w:sz w:val="24"/>
                <w:lang w:val="en-US" w:eastAsia="zh-CN"/>
              </w:rPr>
              <w:t>外部门</w:t>
            </w:r>
            <w:r>
              <w:rPr>
                <w:rFonts w:hint="eastAsia" w:ascii="仿宋" w:hAnsi="仿宋" w:eastAsia="仿宋"/>
                <w:bCs/>
                <w:sz w:val="24"/>
              </w:rPr>
              <w:t>信息共享</w:t>
            </w:r>
            <w:r>
              <w:rPr>
                <w:rFonts w:hint="eastAsia" w:ascii="仿宋" w:hAnsi="仿宋" w:eastAsia="仿宋"/>
                <w:bCs/>
                <w:sz w:val="24"/>
                <w:lang w:val="en-US" w:eastAsia="zh-CN"/>
              </w:rPr>
              <w:t>监测</w:t>
            </w:r>
            <w:r>
              <w:rPr>
                <w:rFonts w:hint="eastAsia" w:ascii="仿宋" w:hAnsi="仿宋" w:eastAsia="仿宋"/>
                <w:bCs/>
                <w:sz w:val="24"/>
              </w:rPr>
              <w:t>。</w:t>
            </w:r>
            <w:r>
              <w:rPr>
                <w:rFonts w:hint="eastAsia" w:ascii="仿宋" w:hAnsi="仿宋" w:eastAsia="仿宋"/>
                <w:bCs/>
                <w:sz w:val="24"/>
                <w:lang w:val="en-US" w:eastAsia="zh-CN"/>
              </w:rPr>
              <w:t>保障与公安</w:t>
            </w:r>
            <w:r>
              <w:rPr>
                <w:rFonts w:hint="eastAsia" w:ascii="仿宋" w:hAnsi="仿宋" w:eastAsia="仿宋"/>
                <w:bCs/>
                <w:sz w:val="24"/>
              </w:rPr>
              <w:t>户籍人口信息、户籍死亡人口信息信息</w:t>
            </w:r>
            <w:r>
              <w:rPr>
                <w:rFonts w:hint="eastAsia" w:ascii="仿宋" w:hAnsi="仿宋" w:eastAsia="仿宋"/>
                <w:bCs/>
                <w:sz w:val="24"/>
                <w:lang w:eastAsia="zh-CN"/>
              </w:rPr>
              <w:t>、</w:t>
            </w:r>
            <w:r>
              <w:rPr>
                <w:rFonts w:hint="eastAsia" w:ascii="仿宋" w:hAnsi="仿宋" w:eastAsia="仿宋"/>
                <w:bCs/>
                <w:sz w:val="24"/>
              </w:rPr>
              <w:t>民政部门民政婚姻登记信息等信息</w:t>
            </w:r>
            <w:r>
              <w:rPr>
                <w:rFonts w:hint="eastAsia" w:ascii="仿宋" w:hAnsi="仿宋" w:eastAsia="仿宋"/>
                <w:bCs/>
                <w:sz w:val="24"/>
                <w:lang w:val="en-US" w:eastAsia="zh-CN"/>
              </w:rPr>
              <w:t>共享通道的畅通</w:t>
            </w:r>
            <w:r>
              <w:rPr>
                <w:rFonts w:hint="eastAsia" w:ascii="仿宋" w:hAnsi="仿宋" w:eastAsia="仿宋"/>
                <w:bCs/>
                <w:sz w:val="24"/>
              </w:rPr>
              <w:t>，</w:t>
            </w:r>
            <w:r>
              <w:rPr>
                <w:rFonts w:hint="eastAsia" w:ascii="仿宋" w:hAnsi="仿宋" w:eastAsia="仿宋"/>
                <w:bCs/>
                <w:sz w:val="24"/>
                <w:lang w:val="en-US" w:eastAsia="zh-CN"/>
              </w:rPr>
              <w:t>监测数据共享连通情况，针对接口和数据共享异常情况，联系外部门和省大数据中心技术人员，联调解决</w:t>
            </w:r>
            <w:r>
              <w:rPr>
                <w:rFonts w:hint="eastAsia" w:ascii="仿宋" w:hAnsi="仿宋" w:eastAsia="仿宋"/>
                <w:bCs/>
                <w:sz w:val="24"/>
              </w:rPr>
              <w:t>。提供全省全员人口库信息供公安厅查询</w:t>
            </w:r>
            <w:r>
              <w:rPr>
                <w:rFonts w:hint="eastAsia" w:ascii="仿宋" w:hAnsi="仿宋" w:eastAsia="仿宋"/>
                <w:bCs/>
                <w:sz w:val="24"/>
                <w:lang w:eastAsia="zh-CN"/>
              </w:rPr>
              <w:t>，</w:t>
            </w:r>
            <w:r>
              <w:rPr>
                <w:rFonts w:hint="eastAsia" w:ascii="仿宋" w:hAnsi="仿宋" w:eastAsia="仿宋"/>
                <w:bCs/>
                <w:sz w:val="24"/>
                <w:lang w:val="en-US" w:eastAsia="zh-CN"/>
              </w:rPr>
              <w:t>保障数据正常增量更新</w:t>
            </w:r>
            <w:r>
              <w:rPr>
                <w:rFonts w:hint="eastAsia" w:ascii="仿宋" w:hAnsi="仿宋" w:eastAsia="仿宋"/>
                <w:bCs/>
                <w:sz w:val="24"/>
              </w:rPr>
              <w:t>。</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ind w:firstLine="0" w:firstLineChars="0"/>
              <w:rPr>
                <w:rFonts w:hint="eastAsia"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hint="eastAsia" w:ascii="仿宋" w:hAnsi="仿宋" w:eastAsia="仿宋"/>
                <w:bCs/>
                <w:sz w:val="24"/>
              </w:rPr>
            </w:pPr>
            <w:r>
              <w:rPr>
                <w:rFonts w:hint="eastAsia" w:ascii="仿宋" w:hAnsi="仿宋" w:eastAsia="仿宋"/>
                <w:bCs/>
                <w:sz w:val="24"/>
                <w:lang w:val="en-US" w:eastAsia="zh-CN"/>
              </w:rPr>
              <w:t>2</w:t>
            </w:r>
            <w:r>
              <w:rPr>
                <w:rFonts w:hint="eastAsia" w:ascii="仿宋" w:hAnsi="仿宋" w:eastAsia="仿宋"/>
                <w:bCs/>
                <w:sz w:val="24"/>
              </w:rPr>
              <w:t>.与</w:t>
            </w:r>
            <w:r>
              <w:rPr>
                <w:rFonts w:hint="eastAsia" w:ascii="仿宋" w:hAnsi="仿宋" w:eastAsia="仿宋"/>
                <w:bCs/>
                <w:sz w:val="24"/>
                <w:lang w:val="en-US" w:eastAsia="zh-CN"/>
              </w:rPr>
              <w:t>健康医疗大数据中心</w:t>
            </w:r>
            <w:r>
              <w:rPr>
                <w:rFonts w:hint="eastAsia" w:ascii="仿宋" w:hAnsi="仿宋" w:eastAsia="仿宋"/>
                <w:bCs/>
                <w:sz w:val="24"/>
              </w:rPr>
              <w:t>的信息共享。按照</w:t>
            </w:r>
            <w:r>
              <w:rPr>
                <w:rFonts w:hint="eastAsia" w:ascii="仿宋" w:hAnsi="仿宋" w:eastAsia="仿宋"/>
                <w:bCs/>
                <w:sz w:val="24"/>
                <w:lang w:val="en-US" w:eastAsia="zh-CN"/>
              </w:rPr>
              <w:t>健康医疗大数据中心</w:t>
            </w:r>
            <w:r>
              <w:rPr>
                <w:rFonts w:hint="eastAsia" w:ascii="仿宋" w:hAnsi="仿宋" w:eastAsia="仿宋"/>
                <w:bCs/>
                <w:sz w:val="24"/>
              </w:rPr>
              <w:t>的信息共享要求，实现全员人口</w:t>
            </w:r>
            <w:r>
              <w:rPr>
                <w:rFonts w:hint="eastAsia" w:ascii="仿宋" w:hAnsi="仿宋" w:eastAsia="仿宋"/>
                <w:bCs/>
                <w:sz w:val="24"/>
                <w:lang w:val="en-US" w:eastAsia="zh-CN"/>
              </w:rPr>
              <w:t>基础</w:t>
            </w:r>
            <w:r>
              <w:rPr>
                <w:rFonts w:hint="eastAsia" w:ascii="仿宋" w:hAnsi="仿宋" w:eastAsia="仿宋"/>
                <w:bCs/>
                <w:sz w:val="24"/>
              </w:rPr>
              <w:t>信息</w:t>
            </w:r>
            <w:r>
              <w:rPr>
                <w:rFonts w:hint="eastAsia" w:ascii="仿宋" w:hAnsi="仿宋" w:eastAsia="仿宋"/>
                <w:bCs/>
                <w:sz w:val="24"/>
                <w:lang w:val="en-US" w:eastAsia="zh-CN"/>
              </w:rPr>
              <w:t>等信息</w:t>
            </w:r>
            <w:r>
              <w:rPr>
                <w:rFonts w:hint="eastAsia" w:ascii="仿宋" w:hAnsi="仿宋" w:eastAsia="仿宋"/>
                <w:bCs/>
                <w:sz w:val="24"/>
              </w:rPr>
              <w:t>共享</w:t>
            </w:r>
            <w:r>
              <w:rPr>
                <w:rFonts w:hint="eastAsia" w:ascii="仿宋" w:hAnsi="仿宋" w:eastAsia="仿宋"/>
                <w:bCs/>
                <w:sz w:val="24"/>
                <w:lang w:val="en-US" w:eastAsia="zh-CN"/>
              </w:rPr>
              <w:t>入湖，</w:t>
            </w:r>
            <w:r>
              <w:rPr>
                <w:rFonts w:hint="eastAsia" w:ascii="仿宋" w:hAnsi="仿宋" w:eastAsia="仿宋"/>
                <w:bCs/>
                <w:sz w:val="24"/>
              </w:rPr>
              <w:t>并记录共享日志。</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ind w:firstLine="0" w:firstLineChars="0"/>
              <w:rPr>
                <w:rFonts w:hint="eastAsia"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hint="eastAsia" w:ascii="仿宋" w:hAnsi="仿宋" w:eastAsia="仿宋"/>
                <w:bCs/>
                <w:sz w:val="24"/>
                <w:lang w:val="en-US" w:eastAsia="zh-CN"/>
              </w:rPr>
            </w:pPr>
            <w:r>
              <w:rPr>
                <w:rFonts w:hint="eastAsia" w:ascii="仿宋" w:hAnsi="仿宋" w:eastAsia="仿宋"/>
                <w:bCs/>
                <w:sz w:val="24"/>
                <w:lang w:val="en-US" w:eastAsia="zh-CN"/>
              </w:rPr>
              <w:t>3</w:t>
            </w:r>
            <w:r>
              <w:rPr>
                <w:rFonts w:hint="eastAsia" w:ascii="仿宋" w:hAnsi="仿宋" w:eastAsia="仿宋"/>
                <w:bCs/>
                <w:sz w:val="24"/>
              </w:rPr>
              <w:t>. 与妇幼</w:t>
            </w:r>
            <w:r>
              <w:rPr>
                <w:rFonts w:hint="eastAsia" w:ascii="仿宋" w:hAnsi="仿宋" w:eastAsia="仿宋"/>
                <w:bCs/>
                <w:sz w:val="24"/>
                <w:lang w:val="en-US" w:eastAsia="zh-CN"/>
              </w:rPr>
              <w:t>健康</w:t>
            </w:r>
            <w:r>
              <w:rPr>
                <w:rFonts w:hint="eastAsia" w:ascii="仿宋" w:hAnsi="仿宋" w:eastAsia="仿宋"/>
                <w:bCs/>
                <w:sz w:val="24"/>
              </w:rPr>
              <w:t>信息共享。</w:t>
            </w:r>
            <w:r>
              <w:rPr>
                <w:rFonts w:hint="eastAsia" w:ascii="仿宋" w:hAnsi="仿宋" w:eastAsia="仿宋"/>
                <w:bCs/>
                <w:sz w:val="24"/>
                <w:lang w:val="en-US" w:eastAsia="zh-CN"/>
              </w:rPr>
              <w:t>按照湖北省健康医疗大数据中心技术要求，</w:t>
            </w:r>
            <w:r>
              <w:rPr>
                <w:rFonts w:hint="eastAsia" w:ascii="仿宋" w:hAnsi="仿宋" w:eastAsia="仿宋"/>
                <w:bCs/>
                <w:sz w:val="24"/>
              </w:rPr>
              <w:t>与妇幼平台出生分娩信息、出生医学证明信息、B超信息的</w:t>
            </w:r>
            <w:r>
              <w:rPr>
                <w:rFonts w:hint="eastAsia" w:ascii="仿宋" w:hAnsi="仿宋" w:eastAsia="仿宋"/>
                <w:bCs/>
                <w:sz w:val="24"/>
                <w:lang w:val="en-US" w:eastAsia="zh-CN"/>
              </w:rPr>
              <w:t>点对点</w:t>
            </w:r>
            <w:r>
              <w:rPr>
                <w:rFonts w:hint="eastAsia" w:ascii="仿宋" w:hAnsi="仿宋" w:eastAsia="仿宋"/>
                <w:bCs/>
                <w:sz w:val="24"/>
              </w:rPr>
              <w:t>共享，</w:t>
            </w:r>
            <w:r>
              <w:rPr>
                <w:rFonts w:hint="eastAsia" w:ascii="仿宋" w:hAnsi="仿宋" w:eastAsia="仿宋"/>
                <w:bCs/>
                <w:sz w:val="24"/>
                <w:lang w:val="en-US" w:eastAsia="zh-CN"/>
              </w:rPr>
              <w:t>切割成通过健康医疗大数据中心共享</w:t>
            </w:r>
            <w:r>
              <w:rPr>
                <w:rFonts w:hint="eastAsia" w:ascii="仿宋" w:hAnsi="仿宋" w:eastAsia="仿宋"/>
                <w:bCs/>
                <w:sz w:val="24"/>
              </w:rPr>
              <w:t>，并记录共享日志。</w:t>
            </w:r>
          </w:p>
        </w:tc>
      </w:tr>
      <w:tr>
        <w:tblPrEx>
          <w:tblCellMar>
            <w:top w:w="0" w:type="dxa"/>
            <w:left w:w="108" w:type="dxa"/>
            <w:bottom w:w="0" w:type="dxa"/>
            <w:right w:w="108" w:type="dxa"/>
          </w:tblCellMar>
        </w:tblPrEx>
        <w:trPr>
          <w:trHeight w:val="682"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ind w:firstLine="0" w:firstLineChars="0"/>
              <w:rPr>
                <w:rFonts w:hint="eastAsia"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hint="eastAsia" w:ascii="仿宋" w:hAnsi="仿宋" w:eastAsia="仿宋"/>
                <w:bCs/>
                <w:sz w:val="24"/>
              </w:rPr>
            </w:pPr>
            <w:r>
              <w:rPr>
                <w:rFonts w:hint="eastAsia" w:ascii="仿宋" w:hAnsi="仿宋" w:eastAsia="仿宋"/>
                <w:bCs/>
                <w:sz w:val="24"/>
                <w:lang w:val="en-US" w:eastAsia="zh-CN"/>
              </w:rPr>
              <w:t>4</w:t>
            </w:r>
            <w:r>
              <w:rPr>
                <w:rFonts w:hint="eastAsia" w:ascii="仿宋" w:hAnsi="仿宋" w:eastAsia="仿宋"/>
                <w:bCs/>
                <w:sz w:val="24"/>
              </w:rPr>
              <w:t>. 与卫生健康政务信息共享平台的信息</w:t>
            </w:r>
            <w:r>
              <w:rPr>
                <w:rFonts w:hint="eastAsia" w:ascii="仿宋" w:hAnsi="仿宋" w:eastAsia="仿宋"/>
                <w:bCs/>
                <w:sz w:val="24"/>
                <w:lang w:val="en-US" w:eastAsia="zh-CN"/>
              </w:rPr>
              <w:t>推送</w:t>
            </w:r>
            <w:r>
              <w:rPr>
                <w:rFonts w:hint="eastAsia" w:ascii="仿宋" w:hAnsi="仿宋" w:eastAsia="仿宋"/>
                <w:bCs/>
                <w:sz w:val="24"/>
              </w:rPr>
              <w:t>。按照卫生健康政务信息共享</w:t>
            </w:r>
            <w:r>
              <w:rPr>
                <w:rFonts w:hint="eastAsia" w:ascii="仿宋" w:hAnsi="仿宋" w:eastAsia="仿宋"/>
                <w:bCs/>
                <w:sz w:val="24"/>
                <w:lang w:val="en-US" w:eastAsia="zh-CN"/>
              </w:rPr>
              <w:t>责任清单</w:t>
            </w:r>
            <w:r>
              <w:rPr>
                <w:rFonts w:hint="eastAsia" w:ascii="仿宋" w:hAnsi="仿宋" w:eastAsia="仿宋"/>
                <w:bCs/>
                <w:sz w:val="24"/>
              </w:rPr>
              <w:t>，实现全员人口基础信息、育龄妇女信息、妊娠信息、生育信息、生育登记信息</w:t>
            </w:r>
            <w:r>
              <w:rPr>
                <w:rFonts w:hint="eastAsia" w:ascii="仿宋" w:hAnsi="仿宋" w:eastAsia="仿宋"/>
                <w:bCs/>
                <w:sz w:val="24"/>
                <w:lang w:eastAsia="zh-CN"/>
              </w:rPr>
              <w:t>、</w:t>
            </w:r>
            <w:r>
              <w:rPr>
                <w:rFonts w:hint="eastAsia" w:ascii="仿宋" w:hAnsi="仿宋" w:eastAsia="仿宋"/>
                <w:bCs/>
                <w:sz w:val="24"/>
                <w:lang w:val="en-US" w:eastAsia="zh-CN"/>
              </w:rPr>
              <w:t>奖特特扶信息</w:t>
            </w:r>
            <w:r>
              <w:rPr>
                <w:rFonts w:hint="eastAsia" w:ascii="仿宋" w:hAnsi="仿宋" w:eastAsia="仿宋"/>
                <w:bCs/>
                <w:sz w:val="24"/>
              </w:rPr>
              <w:t>等</w:t>
            </w:r>
            <w:r>
              <w:rPr>
                <w:rFonts w:hint="eastAsia" w:ascii="仿宋" w:hAnsi="仿宋" w:eastAsia="仿宋"/>
                <w:bCs/>
                <w:sz w:val="24"/>
                <w:lang w:val="en-US" w:eastAsia="zh-CN"/>
              </w:rPr>
              <w:t>信息的推送</w:t>
            </w:r>
            <w:r>
              <w:rPr>
                <w:rFonts w:hint="eastAsia" w:ascii="仿宋" w:hAnsi="仿宋" w:eastAsia="仿宋"/>
                <w:bCs/>
                <w:sz w:val="24"/>
              </w:rPr>
              <w:t>，并按照更新周期对数据进行更新。</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lang w:val="en-US" w:eastAsia="zh-CN"/>
              </w:rPr>
              <w:t>5</w:t>
            </w:r>
            <w:r>
              <w:rPr>
                <w:rFonts w:hint="eastAsia" w:ascii="仿宋" w:hAnsi="仿宋" w:eastAsia="仿宋"/>
                <w:bCs/>
                <w:sz w:val="24"/>
              </w:rPr>
              <w:t>. 与疾控</w:t>
            </w:r>
            <w:r>
              <w:rPr>
                <w:rFonts w:hint="eastAsia" w:ascii="仿宋" w:hAnsi="仿宋" w:eastAsia="仿宋"/>
                <w:bCs/>
                <w:sz w:val="24"/>
                <w:lang w:val="en-US" w:eastAsia="zh-CN"/>
              </w:rPr>
              <w:t>免疫</w:t>
            </w:r>
            <w:r>
              <w:rPr>
                <w:rFonts w:hint="eastAsia" w:ascii="仿宋" w:hAnsi="仿宋" w:eastAsia="仿宋"/>
                <w:bCs/>
                <w:sz w:val="24"/>
              </w:rPr>
              <w:t>信息共享。与疾控平台实现出生儿童预防接种信息、死亡医学证明信息的共享</w:t>
            </w:r>
            <w:r>
              <w:rPr>
                <w:rFonts w:hint="eastAsia" w:ascii="仿宋" w:hAnsi="仿宋" w:eastAsia="仿宋"/>
                <w:bCs/>
                <w:sz w:val="24"/>
                <w:lang w:val="en-US" w:eastAsia="zh-CN"/>
              </w:rPr>
              <w:t>获取</w:t>
            </w:r>
            <w:r>
              <w:rPr>
                <w:rFonts w:hint="eastAsia" w:ascii="仿宋" w:hAnsi="仿宋" w:eastAsia="仿宋"/>
                <w:bCs/>
                <w:sz w:val="24"/>
              </w:rPr>
              <w:t>，实时监测共享情况，根据业务需要，将共享的数据提供给其他系统，并记录共享日志。</w:t>
            </w:r>
          </w:p>
        </w:tc>
      </w:tr>
      <w:tr>
        <w:tblPrEx>
          <w:tblCellMar>
            <w:top w:w="0" w:type="dxa"/>
            <w:left w:w="108" w:type="dxa"/>
            <w:bottom w:w="0" w:type="dxa"/>
            <w:right w:w="108" w:type="dxa"/>
          </w:tblCellMar>
        </w:tblPrEx>
        <w:trPr>
          <w:trHeight w:val="288" w:hRule="atLeast"/>
        </w:trPr>
        <w:tc>
          <w:tcPr>
            <w:tcW w:w="395"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ascii="仿宋" w:hAnsi="仿宋" w:eastAsia="仿宋"/>
                <w:bCs/>
                <w:sz w:val="24"/>
              </w:rPr>
              <w:t>7</w:t>
            </w:r>
          </w:p>
        </w:tc>
        <w:tc>
          <w:tcPr>
            <w:tcW w:w="1365" w:type="pct"/>
            <w:vMerge w:val="restart"/>
            <w:tcBorders>
              <w:top w:val="single" w:color="auto" w:sz="4" w:space="0"/>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数据挖掘与分析</w:t>
            </w: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rPr>
              <w:t>1. 全员人口个案库数据质量监测。基于全员人口数据库，对全省全员人口个案库数据质量进行评测，定期或不定期提交评测结果报表，根据结果报表为基层提供有针对性存在质量问题（包括空缺、奇异、逻辑关系问题等）的全员人口信息。</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right w:val="single" w:color="auto" w:sz="4" w:space="0"/>
            </w:tcBorders>
            <w:shd w:val="clear" w:color="auto" w:fill="auto"/>
            <w:vAlign w:val="center"/>
          </w:tcPr>
          <w:p>
            <w:pPr>
              <w:pStyle w:val="13"/>
              <w:widowControl/>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lang w:val="en-US" w:eastAsia="zh-CN"/>
              </w:rPr>
              <w:t>2</w:t>
            </w:r>
            <w:r>
              <w:rPr>
                <w:rFonts w:hint="eastAsia" w:ascii="仿宋" w:hAnsi="仿宋" w:eastAsia="仿宋"/>
                <w:bCs/>
                <w:sz w:val="24"/>
              </w:rPr>
              <w:t>. 提供省级阶段性决策分析数据。依照省卫生健康委各业务处室的工作需要，提供综合或专项统计分析数据，便于人口相关工作的阶段性科学决策。所提供分析数据，包括分年度对比数据、分地区别统计数据等。</w:t>
            </w:r>
          </w:p>
        </w:tc>
      </w:tr>
      <w:tr>
        <w:tblPrEx>
          <w:tblCellMar>
            <w:top w:w="0" w:type="dxa"/>
            <w:left w:w="108" w:type="dxa"/>
            <w:bottom w:w="0" w:type="dxa"/>
            <w:right w:w="108" w:type="dxa"/>
          </w:tblCellMar>
        </w:tblPrEx>
        <w:trPr>
          <w:trHeight w:val="288" w:hRule="atLeast"/>
        </w:trPr>
        <w:tc>
          <w:tcPr>
            <w:tcW w:w="395"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365" w:type="pct"/>
            <w:vMerge w:val="continue"/>
            <w:tcBorders>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p>
        </w:tc>
        <w:tc>
          <w:tcPr>
            <w:tcW w:w="3239" w:type="pct"/>
            <w:tcBorders>
              <w:top w:val="single" w:color="auto" w:sz="4" w:space="0"/>
              <w:left w:val="nil"/>
              <w:bottom w:val="single" w:color="auto" w:sz="4" w:space="0"/>
              <w:right w:val="single" w:color="auto" w:sz="4" w:space="0"/>
            </w:tcBorders>
            <w:shd w:val="clear" w:color="auto" w:fill="auto"/>
            <w:vAlign w:val="center"/>
          </w:tcPr>
          <w:p>
            <w:pPr>
              <w:pStyle w:val="13"/>
              <w:widowControl/>
              <w:ind w:firstLine="0" w:firstLineChars="0"/>
              <w:rPr>
                <w:rFonts w:ascii="仿宋" w:hAnsi="仿宋" w:eastAsia="仿宋"/>
                <w:bCs/>
                <w:sz w:val="24"/>
              </w:rPr>
            </w:pPr>
            <w:r>
              <w:rPr>
                <w:rFonts w:hint="eastAsia" w:ascii="仿宋" w:hAnsi="仿宋" w:eastAsia="仿宋"/>
                <w:bCs/>
                <w:sz w:val="24"/>
                <w:lang w:val="en-US" w:eastAsia="zh-CN"/>
              </w:rPr>
              <w:t>3</w:t>
            </w:r>
            <w:r>
              <w:rPr>
                <w:rFonts w:hint="eastAsia" w:ascii="仿宋" w:hAnsi="仿宋" w:eastAsia="仿宋"/>
                <w:bCs/>
                <w:sz w:val="24"/>
              </w:rPr>
              <w:t>. 提供高校人口相关科研项目的数据支撑。根据省卫生健康委要求及相关高效的需求，提供人口相关科研项目的数据支撑服务，包括湖北省基本生育免费服务项目评估抽样、育龄妇女分年龄人数及生育情况、生育率统计调查与抽样等。</w:t>
            </w:r>
          </w:p>
        </w:tc>
      </w:tr>
    </w:tbl>
    <w:p>
      <w:pPr>
        <w:widowControl/>
        <w:spacing w:line="360" w:lineRule="auto"/>
        <w:jc w:val="left"/>
      </w:pPr>
    </w:p>
    <w:p>
      <w:pPr>
        <w:pStyle w:val="13"/>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商务要求</w:t>
      </w: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17" w:type="dxa"/>
            <w:shd w:val="clear" w:color="auto" w:fill="auto"/>
            <w:vAlign w:val="center"/>
          </w:tcPr>
          <w:p>
            <w:pPr>
              <w:tabs>
                <w:tab w:val="left" w:pos="72"/>
                <w:tab w:val="left" w:pos="130"/>
              </w:tabs>
              <w:snapToGrid w:val="0"/>
              <w:spacing w:line="360" w:lineRule="auto"/>
              <w:jc w:val="center"/>
              <w:rPr>
                <w:rFonts w:asciiTheme="minorEastAsia" w:hAnsiTheme="minorEastAsia"/>
                <w:b/>
                <w:sz w:val="24"/>
              </w:rPr>
            </w:pPr>
            <w:r>
              <w:rPr>
                <w:rFonts w:hint="eastAsia" w:ascii="仿宋_GB2312" w:hAnsi="宋体" w:eastAsia="仿宋_GB2312"/>
                <w:b/>
                <w:bCs/>
                <w:sz w:val="24"/>
              </w:rPr>
              <w:t>序号</w:t>
            </w:r>
          </w:p>
        </w:tc>
        <w:tc>
          <w:tcPr>
            <w:tcW w:w="1418"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商务条款</w:t>
            </w:r>
          </w:p>
        </w:tc>
        <w:tc>
          <w:tcPr>
            <w:tcW w:w="6825"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工期要求</w:t>
            </w: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合同签订后一年内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实施地点</w:t>
            </w: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报价要求</w:t>
            </w: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1、投标人的报价应包含为完成本招标文件提出的货物或服务等全部相关工作所有可能发生的费用，即投标总报价为“交钥匙”价。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2、对本文件未列明，而投标人认为必需的费用也需列入投标总报价。在合同实施时，采购人将不予支付中标单位没有列入的项目费用，并认为此项目的费用已包含在投标总报价中。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3、投标人所投货物应报总价和项目各子系统的分项报价等，投标人应提供所投货物全部的详细清单及其价格。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售后服务和技术支持</w:t>
            </w: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lang w:val="zh-CN"/>
              </w:rPr>
              <w:t>1、因该</w:t>
            </w:r>
            <w:r>
              <w:rPr>
                <w:rFonts w:hint="eastAsia" w:ascii="仿宋_GB2312" w:hAnsi="宋体" w:eastAsia="仿宋_GB2312"/>
                <w:bCs/>
                <w:sz w:val="24"/>
              </w:rPr>
              <w:t>项目为系统运维售后服务工作，</w:t>
            </w:r>
            <w:r>
              <w:rPr>
                <w:rFonts w:hint="eastAsia" w:ascii="仿宋_GB2312" w:hAnsi="宋体" w:eastAsia="仿宋_GB2312"/>
                <w:bCs/>
                <w:sz w:val="24"/>
                <w:lang w:val="zh-CN"/>
              </w:rPr>
              <w:t>售后服务工作</w:t>
            </w:r>
            <w:r>
              <w:rPr>
                <w:rFonts w:hint="eastAsia" w:ascii="仿宋_GB2312" w:hAnsi="宋体" w:eastAsia="仿宋_GB2312"/>
                <w:bCs/>
                <w:sz w:val="24"/>
              </w:rPr>
              <w:t>涉及内容较多，周期较长</w:t>
            </w:r>
            <w:r>
              <w:rPr>
                <w:rFonts w:hint="eastAsia" w:ascii="仿宋_GB2312" w:hAnsi="宋体" w:eastAsia="仿宋_GB2312"/>
                <w:bCs/>
                <w:sz w:val="24"/>
                <w:lang w:val="zh-CN"/>
              </w:rPr>
              <w:t>，投标人为本项目提供</w:t>
            </w:r>
            <w:r>
              <w:rPr>
                <w:rFonts w:hint="eastAsia" w:ascii="仿宋_GB2312" w:hAnsi="宋体" w:eastAsia="仿宋_GB2312"/>
                <w:bCs/>
                <w:sz w:val="24"/>
              </w:rPr>
              <w:t>2</w:t>
            </w:r>
            <w:r>
              <w:rPr>
                <w:rFonts w:hint="eastAsia" w:ascii="仿宋_GB2312" w:hAnsi="宋体" w:eastAsia="仿宋_GB2312"/>
                <w:bCs/>
                <w:sz w:val="24"/>
                <w:lang w:val="zh-CN"/>
              </w:rPr>
              <w:t>人以上专业专职的</w:t>
            </w:r>
            <w:r>
              <w:rPr>
                <w:rFonts w:hint="eastAsia" w:ascii="仿宋_GB2312" w:hAnsi="宋体" w:eastAsia="仿宋_GB2312"/>
                <w:bCs/>
                <w:sz w:val="24"/>
              </w:rPr>
              <w:t>运维</w:t>
            </w:r>
            <w:r>
              <w:rPr>
                <w:rFonts w:hint="eastAsia" w:ascii="仿宋_GB2312" w:hAnsi="宋体" w:eastAsia="仿宋_GB2312"/>
                <w:bCs/>
                <w:sz w:val="24"/>
                <w:lang w:val="zh-CN"/>
              </w:rPr>
              <w:t>服务人员，要求在职员工，并能提供可靠的、正常的售后服务和技术7*24小时响应服务。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w:t>
            </w:r>
            <w:r>
              <w:rPr>
                <w:rFonts w:hint="eastAsia" w:ascii="仿宋_GB2312" w:hAnsi="宋体" w:eastAsia="仿宋_GB2312"/>
                <w:bCs/>
                <w:sz w:val="24"/>
                <w:lang w:val="zh-CN"/>
              </w:rPr>
              <w:t>、</w:t>
            </w:r>
            <w:r>
              <w:rPr>
                <w:rFonts w:hint="eastAsia" w:ascii="仿宋_GB2312" w:hAnsi="宋体" w:eastAsia="仿宋_GB2312"/>
                <w:bCs/>
                <w:sz w:val="24"/>
              </w:rPr>
              <w:t>运维</w:t>
            </w:r>
            <w:r>
              <w:rPr>
                <w:rFonts w:hint="eastAsia" w:ascii="仿宋_GB2312" w:hAnsi="宋体" w:eastAsia="仿宋_GB2312"/>
                <w:bCs/>
                <w:sz w:val="24"/>
                <w:lang w:val="zh-CN"/>
              </w:rPr>
              <w:t>的响应时间：在</w:t>
            </w:r>
            <w:r>
              <w:rPr>
                <w:rFonts w:hint="eastAsia" w:ascii="仿宋_GB2312" w:hAnsi="宋体" w:eastAsia="仿宋_GB2312"/>
                <w:bCs/>
                <w:sz w:val="24"/>
              </w:rPr>
              <w:t>运维</w:t>
            </w:r>
            <w:r>
              <w:rPr>
                <w:rFonts w:hint="eastAsia" w:ascii="仿宋_GB2312" w:hAnsi="宋体" w:eastAsia="仿宋_GB2312"/>
                <w:bCs/>
                <w:sz w:val="24"/>
                <w:lang w:val="zh-CN"/>
              </w:rPr>
              <w:t>期间必需</w:t>
            </w:r>
            <w:r>
              <w:rPr>
                <w:rFonts w:hint="eastAsia" w:ascii="仿宋_GB2312" w:hAnsi="宋体" w:eastAsia="仿宋_GB2312"/>
                <w:bCs/>
                <w:sz w:val="24"/>
              </w:rPr>
              <w:t>保障系统的正常运行及功能正常使用</w:t>
            </w:r>
            <w:r>
              <w:rPr>
                <w:rFonts w:hint="eastAsia" w:ascii="仿宋_GB2312" w:hAnsi="宋体" w:eastAsia="仿宋_GB2312"/>
                <w:bCs/>
                <w:sz w:val="24"/>
                <w:lang w:val="zh-CN"/>
              </w:rPr>
              <w:t>，</w:t>
            </w:r>
            <w:r>
              <w:rPr>
                <w:rFonts w:hint="eastAsia" w:ascii="仿宋_GB2312" w:hAnsi="宋体" w:eastAsia="仿宋_GB2312"/>
                <w:bCs/>
                <w:sz w:val="24"/>
              </w:rPr>
              <w:t>问题</w:t>
            </w:r>
            <w:r>
              <w:rPr>
                <w:rFonts w:hint="eastAsia" w:ascii="仿宋_GB2312" w:hAnsi="宋体" w:eastAsia="仿宋_GB2312"/>
                <w:bCs/>
                <w:sz w:val="24"/>
                <w:lang w:val="zh-CN"/>
              </w:rPr>
              <w:t>响应时间为30分钟，</w:t>
            </w:r>
            <w:r>
              <w:rPr>
                <w:rFonts w:hint="eastAsia" w:ascii="仿宋_GB2312" w:hAnsi="宋体" w:eastAsia="仿宋_GB2312"/>
                <w:bCs/>
                <w:sz w:val="24"/>
              </w:rPr>
              <w:t>工作时间段</w:t>
            </w:r>
            <w:r>
              <w:rPr>
                <w:rFonts w:hint="eastAsia" w:ascii="仿宋_GB2312" w:hAnsi="宋体" w:eastAsia="仿宋_GB2312"/>
                <w:bCs/>
                <w:sz w:val="24"/>
                <w:lang w:val="zh-CN"/>
              </w:rPr>
              <w:t>4小时</w:t>
            </w:r>
            <w:r>
              <w:rPr>
                <w:rFonts w:hint="eastAsia" w:ascii="仿宋_GB2312" w:hAnsi="宋体" w:eastAsia="仿宋_GB2312"/>
                <w:bCs/>
                <w:sz w:val="24"/>
              </w:rPr>
              <w:t>内抵达现场服务；非工作时间段6小时内抵达现场服务；一般问题4小时内解决，重大问题24小时内解决</w:t>
            </w:r>
            <w:r>
              <w:rPr>
                <w:rFonts w:hint="eastAsia" w:ascii="仿宋_GB2312" w:hAnsi="宋体" w:eastAsia="仿宋_GB2312"/>
                <w:bCs/>
                <w:sz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培训</w:t>
            </w:r>
          </w:p>
        </w:tc>
        <w:tc>
          <w:tcPr>
            <w:tcW w:w="682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按照采购人要求提供培训服务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付款方式</w:t>
            </w:r>
          </w:p>
        </w:tc>
        <w:tc>
          <w:tcPr>
            <w:tcW w:w="682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按照湖北省财政厅相关要求执行。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保密</w:t>
            </w:r>
          </w:p>
        </w:tc>
        <w:tc>
          <w:tcPr>
            <w:tcW w:w="682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未经采购人书面许可，中标人及其工作人员不得擅自对相关数据和信息进行复制、备份或留底。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技术文档</w:t>
            </w:r>
          </w:p>
        </w:tc>
        <w:tc>
          <w:tcPr>
            <w:tcW w:w="682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提供年度运维报告。</w:t>
            </w:r>
          </w:p>
        </w:tc>
      </w:tr>
    </w:tbl>
    <w:p>
      <w:pPr>
        <w:rPr>
          <w:rFonts w:ascii="仿宋_GB2312" w:eastAsia="仿宋_GB2312"/>
          <w:sz w:val="32"/>
          <w:szCs w:val="32"/>
        </w:rPr>
      </w:pPr>
    </w:p>
    <w:p>
      <w:pPr>
        <w:widowControl/>
        <w:spacing w:line="360" w:lineRule="auto"/>
        <w:jc w:val="left"/>
      </w:pPr>
    </w:p>
    <w:p>
      <w:pPr>
        <w:pStyle w:val="2"/>
      </w:pPr>
    </w:p>
    <w:sectPr>
      <w:footerReference r:id="rId3" w:type="default"/>
      <w:pgSz w:w="11906" w:h="16838"/>
      <w:pgMar w:top="1531" w:right="1531" w:bottom="1531" w:left="1531"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2049131"/>
      <w:docPartObj>
        <w:docPartGallery w:val="autotext"/>
      </w:docPartObj>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43A6A"/>
    <w:multiLevelType w:val="multilevel"/>
    <w:tmpl w:val="0E643A6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EA7C99"/>
    <w:multiLevelType w:val="multilevel"/>
    <w:tmpl w:val="2EEA7C99"/>
    <w:lvl w:ilvl="0" w:tentative="0">
      <w:start w:val="1"/>
      <w:numFmt w:val="decimal"/>
      <w:lvlText w:val="%1"/>
      <w:lvlJc w:val="center"/>
      <w:pPr>
        <w:ind w:left="420" w:hanging="420"/>
      </w:pPr>
      <w:rPr>
        <w:rFonts w:hint="eastAsia" w:asciiTheme="minorEastAsia" w:hAnsiTheme="minorEastAsia" w:eastAsiaTheme="minorEastAsia"/>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wMzIwMzJhM2ZmNWI5Y2Y4OTEzNzYxMDM2OGM0M2YifQ=="/>
  </w:docVars>
  <w:rsids>
    <w:rsidRoot w:val="7C673B6D"/>
    <w:rsid w:val="000161B2"/>
    <w:rsid w:val="00024345"/>
    <w:rsid w:val="000330D5"/>
    <w:rsid w:val="00050C56"/>
    <w:rsid w:val="0005193C"/>
    <w:rsid w:val="00057513"/>
    <w:rsid w:val="00086510"/>
    <w:rsid w:val="00086D1C"/>
    <w:rsid w:val="000B3ED7"/>
    <w:rsid w:val="000B558C"/>
    <w:rsid w:val="000B612A"/>
    <w:rsid w:val="000B784C"/>
    <w:rsid w:val="000C1CBC"/>
    <w:rsid w:val="000D3B65"/>
    <w:rsid w:val="000E1E1F"/>
    <w:rsid w:val="00113FDD"/>
    <w:rsid w:val="00131181"/>
    <w:rsid w:val="0015613B"/>
    <w:rsid w:val="00191AD0"/>
    <w:rsid w:val="001D7A8F"/>
    <w:rsid w:val="001F5FDE"/>
    <w:rsid w:val="00200360"/>
    <w:rsid w:val="00204186"/>
    <w:rsid w:val="00207445"/>
    <w:rsid w:val="00216ED0"/>
    <w:rsid w:val="0026568F"/>
    <w:rsid w:val="002B2C7A"/>
    <w:rsid w:val="00302D33"/>
    <w:rsid w:val="0030641B"/>
    <w:rsid w:val="00307DDF"/>
    <w:rsid w:val="00334474"/>
    <w:rsid w:val="00342B5E"/>
    <w:rsid w:val="0036090F"/>
    <w:rsid w:val="00363116"/>
    <w:rsid w:val="003666C6"/>
    <w:rsid w:val="003677A0"/>
    <w:rsid w:val="003801E1"/>
    <w:rsid w:val="003B7C4A"/>
    <w:rsid w:val="003C4C4A"/>
    <w:rsid w:val="003F0EC9"/>
    <w:rsid w:val="003F2899"/>
    <w:rsid w:val="004037A0"/>
    <w:rsid w:val="00420A9A"/>
    <w:rsid w:val="004353A9"/>
    <w:rsid w:val="004B6A2D"/>
    <w:rsid w:val="004D2B93"/>
    <w:rsid w:val="00510072"/>
    <w:rsid w:val="005547E0"/>
    <w:rsid w:val="0055767F"/>
    <w:rsid w:val="00565CC0"/>
    <w:rsid w:val="00574487"/>
    <w:rsid w:val="00587362"/>
    <w:rsid w:val="005B0641"/>
    <w:rsid w:val="005C41B3"/>
    <w:rsid w:val="005F4952"/>
    <w:rsid w:val="006043B2"/>
    <w:rsid w:val="00610570"/>
    <w:rsid w:val="0061289A"/>
    <w:rsid w:val="00622951"/>
    <w:rsid w:val="00675A6C"/>
    <w:rsid w:val="0068010F"/>
    <w:rsid w:val="006C4851"/>
    <w:rsid w:val="006E0358"/>
    <w:rsid w:val="006E6896"/>
    <w:rsid w:val="006F3389"/>
    <w:rsid w:val="006F778F"/>
    <w:rsid w:val="007312D7"/>
    <w:rsid w:val="00754242"/>
    <w:rsid w:val="00764478"/>
    <w:rsid w:val="007F2588"/>
    <w:rsid w:val="007F6BB1"/>
    <w:rsid w:val="007F7188"/>
    <w:rsid w:val="0081161B"/>
    <w:rsid w:val="008126E3"/>
    <w:rsid w:val="00875AAE"/>
    <w:rsid w:val="0088425E"/>
    <w:rsid w:val="008B70BD"/>
    <w:rsid w:val="008C72A2"/>
    <w:rsid w:val="008D33AC"/>
    <w:rsid w:val="008E5CB8"/>
    <w:rsid w:val="008E609E"/>
    <w:rsid w:val="00904ED1"/>
    <w:rsid w:val="0091495E"/>
    <w:rsid w:val="009334E7"/>
    <w:rsid w:val="00960550"/>
    <w:rsid w:val="009845F2"/>
    <w:rsid w:val="009B703B"/>
    <w:rsid w:val="009C5D52"/>
    <w:rsid w:val="009D335E"/>
    <w:rsid w:val="009F2033"/>
    <w:rsid w:val="00A11CA4"/>
    <w:rsid w:val="00A17250"/>
    <w:rsid w:val="00A33162"/>
    <w:rsid w:val="00A47737"/>
    <w:rsid w:val="00A75937"/>
    <w:rsid w:val="00A75CA3"/>
    <w:rsid w:val="00A816FB"/>
    <w:rsid w:val="00A86659"/>
    <w:rsid w:val="00A94F70"/>
    <w:rsid w:val="00AE0F16"/>
    <w:rsid w:val="00B056C1"/>
    <w:rsid w:val="00B10516"/>
    <w:rsid w:val="00B53CE9"/>
    <w:rsid w:val="00B62CFF"/>
    <w:rsid w:val="00B63D07"/>
    <w:rsid w:val="00B91FC3"/>
    <w:rsid w:val="00BA599C"/>
    <w:rsid w:val="00BB483C"/>
    <w:rsid w:val="00C21EA1"/>
    <w:rsid w:val="00C57A85"/>
    <w:rsid w:val="00C67D1C"/>
    <w:rsid w:val="00C9607D"/>
    <w:rsid w:val="00CA238F"/>
    <w:rsid w:val="00CB1EF8"/>
    <w:rsid w:val="00D172BF"/>
    <w:rsid w:val="00D32D71"/>
    <w:rsid w:val="00D86E5F"/>
    <w:rsid w:val="00DC14BE"/>
    <w:rsid w:val="00DC240E"/>
    <w:rsid w:val="00E162C7"/>
    <w:rsid w:val="00E37837"/>
    <w:rsid w:val="00EA65B7"/>
    <w:rsid w:val="00EB48A2"/>
    <w:rsid w:val="00F60D72"/>
    <w:rsid w:val="00F62E7A"/>
    <w:rsid w:val="00FB0B94"/>
    <w:rsid w:val="00FB6C86"/>
    <w:rsid w:val="00FC34B8"/>
    <w:rsid w:val="00FF1A2F"/>
    <w:rsid w:val="049E3927"/>
    <w:rsid w:val="07074845"/>
    <w:rsid w:val="094840A2"/>
    <w:rsid w:val="0A680E94"/>
    <w:rsid w:val="15F01A96"/>
    <w:rsid w:val="180102EB"/>
    <w:rsid w:val="193E1E59"/>
    <w:rsid w:val="1B6B62D8"/>
    <w:rsid w:val="1C06132C"/>
    <w:rsid w:val="22D97FFC"/>
    <w:rsid w:val="23B42EC4"/>
    <w:rsid w:val="23D616CA"/>
    <w:rsid w:val="23E31567"/>
    <w:rsid w:val="28C6279A"/>
    <w:rsid w:val="31C0661C"/>
    <w:rsid w:val="34905558"/>
    <w:rsid w:val="3D9D3A37"/>
    <w:rsid w:val="3EAD4E54"/>
    <w:rsid w:val="3F52311F"/>
    <w:rsid w:val="43355B1A"/>
    <w:rsid w:val="487214D4"/>
    <w:rsid w:val="4C153709"/>
    <w:rsid w:val="4CA14CC6"/>
    <w:rsid w:val="4F654CEE"/>
    <w:rsid w:val="59853024"/>
    <w:rsid w:val="612749EC"/>
    <w:rsid w:val="6DCA2015"/>
    <w:rsid w:val="7ACA3AB3"/>
    <w:rsid w:val="7B6B601A"/>
    <w:rsid w:val="7C673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4"/>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8"/>
    <w:autoRedefine/>
    <w:unhideWhenUsed/>
    <w:qFormat/>
    <w:uiPriority w:val="9"/>
    <w:pPr>
      <w:keepNext/>
      <w:keepLines/>
      <w:spacing w:before="260" w:after="260" w:line="416" w:lineRule="auto"/>
      <w:outlineLvl w:val="2"/>
    </w:pPr>
    <w:rPr>
      <w:rFonts w:ascii="Calibri" w:hAnsi="Calibri"/>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6">
    <w:name w:val="footer"/>
    <w:basedOn w:val="1"/>
    <w:link w:val="16"/>
    <w:autoRedefine/>
    <w:qFormat/>
    <w:uiPriority w:val="99"/>
    <w:pPr>
      <w:tabs>
        <w:tab w:val="center" w:pos="4153"/>
        <w:tab w:val="right" w:pos="8306"/>
      </w:tabs>
      <w:snapToGrid w:val="0"/>
      <w:jc w:val="left"/>
    </w:pPr>
    <w:rPr>
      <w:sz w:val="18"/>
      <w:szCs w:val="18"/>
    </w:rPr>
  </w:style>
  <w:style w:type="paragraph" w:styleId="7">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标题 1 Char"/>
    <w:basedOn w:val="11"/>
    <w:link w:val="3"/>
    <w:autoRedefine/>
    <w:qFormat/>
    <w:uiPriority w:val="0"/>
    <w:rPr>
      <w:rFonts w:ascii="Times New Roman" w:hAnsi="Times New Roman" w:eastAsia="宋体" w:cs="Times New Roman"/>
      <w:b/>
      <w:bCs/>
      <w:kern w:val="44"/>
      <w:sz w:val="44"/>
      <w:szCs w:val="44"/>
    </w:rPr>
  </w:style>
  <w:style w:type="paragraph" w:styleId="13">
    <w:name w:val="List Paragraph"/>
    <w:basedOn w:val="1"/>
    <w:autoRedefine/>
    <w:qFormat/>
    <w:uiPriority w:val="34"/>
    <w:pPr>
      <w:ind w:firstLine="420" w:firstLineChars="200"/>
    </w:pPr>
  </w:style>
  <w:style w:type="character" w:customStyle="1" w:styleId="14">
    <w:name w:val="标题 2 Char"/>
    <w:basedOn w:val="11"/>
    <w:link w:val="4"/>
    <w:autoRedefine/>
    <w:qFormat/>
    <w:uiPriority w:val="0"/>
    <w:rPr>
      <w:rFonts w:asciiTheme="majorHAnsi" w:hAnsiTheme="majorHAnsi" w:eastAsiaTheme="majorEastAsia" w:cstheme="majorBidi"/>
      <w:b/>
      <w:bCs/>
      <w:kern w:val="2"/>
      <w:sz w:val="32"/>
      <w:szCs w:val="32"/>
    </w:rPr>
  </w:style>
  <w:style w:type="character" w:customStyle="1" w:styleId="15">
    <w:name w:val="页眉 Char"/>
    <w:basedOn w:val="11"/>
    <w:link w:val="7"/>
    <w:autoRedefine/>
    <w:qFormat/>
    <w:uiPriority w:val="0"/>
    <w:rPr>
      <w:rFonts w:ascii="Times New Roman" w:hAnsi="Times New Roman" w:eastAsia="宋体" w:cs="Times New Roman"/>
      <w:kern w:val="2"/>
      <w:sz w:val="18"/>
      <w:szCs w:val="18"/>
    </w:rPr>
  </w:style>
  <w:style w:type="character" w:customStyle="1" w:styleId="16">
    <w:name w:val="页脚 Char"/>
    <w:basedOn w:val="11"/>
    <w:link w:val="6"/>
    <w:autoRedefine/>
    <w:qFormat/>
    <w:uiPriority w:val="99"/>
    <w:rPr>
      <w:rFonts w:ascii="Times New Roman" w:hAnsi="Times New Roman" w:eastAsia="宋体" w:cs="Times New Roman"/>
      <w:kern w:val="2"/>
      <w:sz w:val="18"/>
      <w:szCs w:val="18"/>
    </w:rPr>
  </w:style>
  <w:style w:type="character" w:customStyle="1" w:styleId="17">
    <w:name w:val="标题 3 字符"/>
    <w:basedOn w:val="11"/>
    <w:autoRedefine/>
    <w:semiHidden/>
    <w:qFormat/>
    <w:uiPriority w:val="0"/>
    <w:rPr>
      <w:rFonts w:ascii="Times New Roman" w:hAnsi="Times New Roman" w:eastAsia="宋体" w:cs="Times New Roman"/>
      <w:b/>
      <w:bCs/>
      <w:kern w:val="2"/>
      <w:sz w:val="32"/>
      <w:szCs w:val="32"/>
    </w:rPr>
  </w:style>
  <w:style w:type="character" w:customStyle="1" w:styleId="18">
    <w:name w:val="标题 3 Char"/>
    <w:link w:val="5"/>
    <w:autoRedefine/>
    <w:qFormat/>
    <w:uiPriority w:val="9"/>
    <w:rPr>
      <w:rFonts w:ascii="Calibri" w:hAnsi="Calibri"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68E7C-3405-4995-A2F4-304C5AD88BCC}">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4899</Words>
  <Characters>4997</Characters>
  <Lines>37</Lines>
  <Paragraphs>10</Paragraphs>
  <TotalTime>6</TotalTime>
  <ScaleCrop>false</ScaleCrop>
  <LinksUpToDate>false</LinksUpToDate>
  <CharactersWithSpaces>5031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2022-08-02T08:04:00Z</dcterms:created>
  <dc:creator>小墨鱼</dc:creator>
  <cp:lastModifiedBy>WPS_1177627572</cp:lastModifiedBy>
  <dcterms:modified xsi:type="dcterms:W3CDTF">2024-05-20T06:55:39Z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154985A250C648FBAF9A615E9F7372F7_13</vt:lpwstr>
  </property>
</Properties>
</file>