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eastAsia="仿宋_GB2312"/>
          <w:sz w:val="44"/>
          <w:szCs w:val="44"/>
        </w:rPr>
      </w:pPr>
      <w:r>
        <w:rPr>
          <w:rFonts w:hint="eastAsia" w:ascii="仿宋_GB2312" w:eastAsia="仿宋_GB2312"/>
          <w:sz w:val="44"/>
          <w:szCs w:val="44"/>
        </w:rPr>
        <w:t>湖北省基层医疗卫生机构</w:t>
      </w:r>
    </w:p>
    <w:p>
      <w:pPr>
        <w:jc w:val="center"/>
        <w:rPr>
          <w:rFonts w:ascii="仿宋_GB2312" w:eastAsia="仿宋_GB2312"/>
          <w:sz w:val="44"/>
          <w:szCs w:val="44"/>
        </w:rPr>
      </w:pPr>
      <w:r>
        <w:rPr>
          <w:rFonts w:hint="eastAsia" w:ascii="仿宋_GB2312" w:eastAsia="仿宋_GB2312"/>
          <w:sz w:val="44"/>
          <w:szCs w:val="44"/>
        </w:rPr>
        <w:t>管理信息系统维护项目</w:t>
      </w:r>
    </w:p>
    <w:p>
      <w:pPr>
        <w:jc w:val="center"/>
        <w:rPr>
          <w:rFonts w:ascii="仿宋_GB2312" w:eastAsia="仿宋_GB2312"/>
          <w:sz w:val="44"/>
          <w:szCs w:val="44"/>
        </w:rPr>
      </w:pPr>
      <w:r>
        <w:rPr>
          <w:rFonts w:hint="eastAsia" w:ascii="仿宋_GB2312" w:eastAsia="仿宋_GB2312"/>
          <w:sz w:val="44"/>
          <w:szCs w:val="44"/>
        </w:rPr>
        <w:t>采购需求文件</w:t>
      </w:r>
    </w:p>
    <w:p>
      <w:pPr>
        <w:jc w:val="center"/>
        <w:rPr>
          <w:rFonts w:ascii="仿宋_GB2312" w:eastAsia="仿宋_GB2312"/>
          <w:sz w:val="44"/>
          <w:szCs w:val="44"/>
        </w:rPr>
      </w:pPr>
    </w:p>
    <w:p>
      <w:pPr>
        <w:ind w:firstLine="560" w:firstLineChars="200"/>
        <w:rPr>
          <w:rFonts w:ascii="仿宋_GB2312" w:eastAsia="仿宋_GB2312"/>
          <w:sz w:val="28"/>
          <w:szCs w:val="28"/>
        </w:rPr>
      </w:pPr>
      <w:r>
        <w:rPr>
          <w:rFonts w:hint="eastAsia" w:ascii="仿宋_GB2312" w:eastAsia="仿宋_GB2312"/>
          <w:sz w:val="28"/>
          <w:szCs w:val="28"/>
        </w:rPr>
        <w:t>依据湖北省本级政府采购项目备案书（备案编号：420000-2024-05635），现委托湖北省公共资源交易中心（湖北省政府采购中心）就“湖北省基层医疗卫生机构管理信息系统维护项目”进行公开招标采购。</w:t>
      </w:r>
    </w:p>
    <w:p>
      <w:pPr>
        <w:ind w:firstLine="560" w:firstLineChars="200"/>
        <w:rPr>
          <w:rFonts w:ascii="仿宋_GB2312" w:eastAsia="仿宋_GB2312"/>
          <w:sz w:val="28"/>
          <w:szCs w:val="28"/>
        </w:rPr>
      </w:pPr>
      <w:r>
        <w:rPr>
          <w:rFonts w:ascii="仿宋_GB2312" w:eastAsia="仿宋_GB2312"/>
          <w:sz w:val="28"/>
          <w:szCs w:val="28"/>
        </w:rPr>
        <w:t>本</w:t>
      </w:r>
      <w:r>
        <w:rPr>
          <w:rFonts w:hint="eastAsia" w:ascii="仿宋_GB2312" w:eastAsia="仿宋_GB2312"/>
          <w:sz w:val="28"/>
          <w:szCs w:val="28"/>
        </w:rPr>
        <w:t>项目</w:t>
      </w:r>
      <w:r>
        <w:rPr>
          <w:rFonts w:ascii="仿宋_GB2312" w:eastAsia="仿宋_GB2312"/>
          <w:sz w:val="28"/>
          <w:szCs w:val="28"/>
        </w:rPr>
        <w:t>采购</w:t>
      </w:r>
      <w:r>
        <w:rPr>
          <w:rFonts w:hint="eastAsia" w:ascii="仿宋_GB2312" w:eastAsia="仿宋_GB2312"/>
          <w:sz w:val="28"/>
          <w:szCs w:val="28"/>
        </w:rPr>
        <w:t>预算：人民币30万元；最高限价：人民币30万元。</w:t>
      </w:r>
    </w:p>
    <w:p>
      <w:pPr>
        <w:ind w:firstLine="560" w:firstLineChars="200"/>
        <w:rPr>
          <w:rFonts w:ascii="仿宋_GB2312" w:eastAsia="仿宋_GB2312"/>
          <w:sz w:val="28"/>
          <w:szCs w:val="28"/>
        </w:rPr>
      </w:pPr>
    </w:p>
    <w:p>
      <w:pPr>
        <w:jc w:val="center"/>
        <w:rPr>
          <w:rFonts w:ascii="仿宋_GB2312" w:eastAsia="仿宋_GB2312"/>
          <w:sz w:val="44"/>
          <w:szCs w:val="44"/>
        </w:rPr>
      </w:pPr>
      <w:bookmarkStart w:id="0" w:name="_Toc1458930"/>
      <w:bookmarkStart w:id="1" w:name="_Toc68185544"/>
      <w:bookmarkStart w:id="2" w:name="_Toc3974930"/>
      <w:r>
        <w:rPr>
          <w:rFonts w:hint="eastAsia" w:ascii="仿宋_GB2312" w:eastAsia="仿宋_GB2312"/>
          <w:sz w:val="44"/>
          <w:szCs w:val="44"/>
        </w:rPr>
        <w:t>第一部分  供应商资格要求</w:t>
      </w:r>
      <w:bookmarkEnd w:id="0"/>
      <w:bookmarkEnd w:id="1"/>
      <w:bookmarkEnd w:id="2"/>
    </w:p>
    <w:p>
      <w:pPr>
        <w:jc w:val="center"/>
        <w:rPr>
          <w:rFonts w:ascii="仿宋_GB2312" w:eastAsia="仿宋_GB2312"/>
          <w:sz w:val="28"/>
          <w:szCs w:val="28"/>
        </w:rPr>
      </w:pPr>
      <w:r>
        <w:rPr>
          <w:rFonts w:hint="eastAsia" w:ascii="仿宋_GB2312" w:eastAsia="仿宋_GB2312"/>
          <w:sz w:val="28"/>
          <w:szCs w:val="28"/>
        </w:rPr>
        <w:t>1、满足《中华人民共和国政府采购法》第二十二条规定，即：</w:t>
      </w:r>
    </w:p>
    <w:p>
      <w:pPr>
        <w:ind w:firstLine="560" w:firstLineChars="200"/>
        <w:rPr>
          <w:rFonts w:ascii="仿宋_GB2312" w:eastAsia="仿宋_GB2312"/>
          <w:sz w:val="28"/>
          <w:szCs w:val="28"/>
        </w:rPr>
      </w:pPr>
      <w:r>
        <w:rPr>
          <w:rFonts w:hint="eastAsia" w:ascii="仿宋_GB2312" w:eastAsia="仿宋_GB2312"/>
          <w:sz w:val="28"/>
          <w:szCs w:val="28"/>
        </w:rPr>
        <w:t>（1）具有独立承担民事责任的能力；</w:t>
      </w:r>
    </w:p>
    <w:p>
      <w:pPr>
        <w:ind w:firstLine="560" w:firstLineChars="200"/>
        <w:rPr>
          <w:rFonts w:ascii="仿宋_GB2312" w:eastAsia="仿宋_GB2312"/>
          <w:sz w:val="28"/>
          <w:szCs w:val="28"/>
        </w:rPr>
      </w:pPr>
      <w:r>
        <w:rPr>
          <w:rFonts w:hint="eastAsia" w:ascii="仿宋_GB2312" w:eastAsia="仿宋_GB2312"/>
          <w:sz w:val="28"/>
          <w:szCs w:val="28"/>
        </w:rPr>
        <w:t>（2）具有良好的商业信誉和健全的财务会计制度；</w:t>
      </w:r>
    </w:p>
    <w:p>
      <w:pPr>
        <w:ind w:firstLine="560" w:firstLineChars="200"/>
        <w:rPr>
          <w:rFonts w:ascii="仿宋_GB2312" w:eastAsia="仿宋_GB2312"/>
          <w:sz w:val="28"/>
          <w:szCs w:val="28"/>
        </w:rPr>
      </w:pPr>
      <w:r>
        <w:rPr>
          <w:rFonts w:hint="eastAsia" w:ascii="仿宋_GB2312" w:eastAsia="仿宋_GB2312"/>
          <w:sz w:val="28"/>
          <w:szCs w:val="28"/>
        </w:rPr>
        <w:t>（3）具有履行合同所必需的设备和专业技术能力；</w:t>
      </w:r>
    </w:p>
    <w:p>
      <w:pPr>
        <w:ind w:firstLine="560" w:firstLineChars="200"/>
        <w:rPr>
          <w:rFonts w:ascii="仿宋_GB2312" w:eastAsia="仿宋_GB2312"/>
          <w:sz w:val="28"/>
          <w:szCs w:val="28"/>
        </w:rPr>
      </w:pPr>
      <w:r>
        <w:rPr>
          <w:rFonts w:hint="eastAsia" w:ascii="仿宋_GB2312" w:eastAsia="仿宋_GB2312"/>
          <w:sz w:val="28"/>
          <w:szCs w:val="28"/>
        </w:rPr>
        <w:t>（4）有依法缴纳税收和社会保障资金的良好记录；</w:t>
      </w:r>
    </w:p>
    <w:p>
      <w:pPr>
        <w:ind w:firstLine="560" w:firstLineChars="200"/>
        <w:rPr>
          <w:rFonts w:ascii="仿宋_GB2312" w:eastAsia="仿宋_GB2312"/>
          <w:sz w:val="28"/>
          <w:szCs w:val="28"/>
        </w:rPr>
      </w:pPr>
      <w:r>
        <w:rPr>
          <w:rFonts w:hint="eastAsia" w:ascii="仿宋_GB2312" w:eastAsia="仿宋_GB2312"/>
          <w:sz w:val="28"/>
          <w:szCs w:val="28"/>
        </w:rPr>
        <w:t>（5）参加政府采购活动前三年内，在经营活动中没有重大违法记录；</w:t>
      </w:r>
    </w:p>
    <w:p>
      <w:pPr>
        <w:ind w:firstLine="560" w:firstLineChars="200"/>
        <w:rPr>
          <w:rFonts w:ascii="仿宋_GB2312" w:eastAsia="仿宋_GB2312"/>
          <w:sz w:val="28"/>
          <w:szCs w:val="28"/>
        </w:rPr>
      </w:pPr>
      <w:r>
        <w:rPr>
          <w:rFonts w:hint="eastAsia" w:ascii="仿宋_GB2312" w:eastAsia="仿宋_GB2312"/>
          <w:sz w:val="28"/>
          <w:szCs w:val="28"/>
        </w:rPr>
        <w:t>（6）法律、行政法规规定的其他条件。</w:t>
      </w:r>
    </w:p>
    <w:p>
      <w:pPr>
        <w:ind w:firstLine="560" w:firstLineChars="200"/>
        <w:rPr>
          <w:rFonts w:ascii="仿宋_GB2312" w:eastAsia="仿宋_GB2312"/>
          <w:sz w:val="28"/>
          <w:szCs w:val="28"/>
        </w:rPr>
      </w:pPr>
      <w:r>
        <w:rPr>
          <w:rFonts w:hint="eastAsia" w:ascii="仿宋_GB2312" w:eastAsia="仿宋_GB2312"/>
          <w:sz w:val="28"/>
          <w:szCs w:val="28"/>
        </w:rPr>
        <w:t>2、应未被列入失信被执行人、重大税收违法案件当事人名单，未被列入政府采购严重违法失信行为记录名单；</w:t>
      </w:r>
    </w:p>
    <w:p>
      <w:pPr>
        <w:ind w:firstLine="560" w:firstLineChars="200"/>
        <w:rPr>
          <w:rFonts w:ascii="仿宋_GB2312" w:eastAsia="仿宋_GB2312"/>
          <w:sz w:val="28"/>
          <w:szCs w:val="28"/>
        </w:rPr>
      </w:pPr>
      <w:r>
        <w:rPr>
          <w:rFonts w:hint="eastAsia" w:ascii="仿宋_GB2312" w:eastAsia="仿宋_GB2312"/>
          <w:sz w:val="28"/>
          <w:szCs w:val="28"/>
        </w:rPr>
        <w:t>3、本项目不接受联合体。</w:t>
      </w:r>
    </w:p>
    <w:p>
      <w:pPr>
        <w:jc w:val="center"/>
        <w:rPr>
          <w:rFonts w:ascii="仿宋_GB2312" w:eastAsia="仿宋_GB2312"/>
          <w:sz w:val="44"/>
          <w:szCs w:val="44"/>
        </w:rPr>
      </w:pPr>
    </w:p>
    <w:p>
      <w:pPr>
        <w:jc w:val="center"/>
        <w:rPr>
          <w:rFonts w:ascii="仿宋_GB2312" w:eastAsia="仿宋_GB2312"/>
          <w:sz w:val="44"/>
          <w:szCs w:val="44"/>
        </w:rPr>
      </w:pPr>
    </w:p>
    <w:p>
      <w:pPr>
        <w:jc w:val="center"/>
        <w:rPr>
          <w:rFonts w:ascii="仿宋_GB2312" w:eastAsia="仿宋_GB2312"/>
          <w:sz w:val="44"/>
          <w:szCs w:val="44"/>
        </w:rPr>
      </w:pPr>
      <w:bookmarkStart w:id="3" w:name="_Toc511889429"/>
      <w:bookmarkStart w:id="4" w:name="_Toc511894507"/>
      <w:bookmarkStart w:id="5" w:name="_Toc67928881"/>
      <w:r>
        <w:rPr>
          <w:rFonts w:hint="eastAsia" w:ascii="仿宋_GB2312" w:eastAsia="仿宋_GB2312"/>
          <w:sz w:val="44"/>
          <w:szCs w:val="44"/>
        </w:rPr>
        <w:t>第二部分目技术、服务及商务要求</w:t>
      </w:r>
      <w:bookmarkEnd w:id="3"/>
      <w:bookmarkEnd w:id="4"/>
      <w:bookmarkEnd w:id="5"/>
    </w:p>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采购清单</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4251"/>
        <w:gridCol w:w="850"/>
        <w:gridCol w:w="850"/>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序号</w:t>
            </w:r>
          </w:p>
        </w:tc>
        <w:tc>
          <w:tcPr>
            <w:tcW w:w="2496"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名称</w:t>
            </w:r>
          </w:p>
        </w:tc>
        <w:tc>
          <w:tcPr>
            <w:tcW w:w="499"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数量</w:t>
            </w:r>
          </w:p>
        </w:tc>
        <w:tc>
          <w:tcPr>
            <w:tcW w:w="499" w:type="pct"/>
            <w:vAlign w:val="center"/>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单位</w:t>
            </w:r>
          </w:p>
        </w:tc>
        <w:tc>
          <w:tcPr>
            <w:tcW w:w="1025" w:type="pct"/>
          </w:tcPr>
          <w:p>
            <w:pPr>
              <w:widowControl/>
              <w:snapToGrid w:val="0"/>
              <w:jc w:val="center"/>
              <w:rPr>
                <w:rFonts w:ascii="宋体" w:hAnsi="宋体" w:eastAsia="宋体" w:cs="宋体"/>
                <w:b/>
                <w:bCs/>
                <w:kern w:val="0"/>
                <w:sz w:val="24"/>
              </w:rPr>
            </w:pPr>
            <w:r>
              <w:rPr>
                <w:rFonts w:hint="eastAsia" w:ascii="宋体" w:hAnsi="宋体" w:eastAsia="宋体" w:cs="宋体"/>
                <w:b/>
                <w:bCs/>
                <w:kern w:val="0"/>
                <w:sz w:val="24"/>
              </w:rPr>
              <w:t>货物/服务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hint="eastAsia" w:ascii="宋体" w:hAnsi="宋体" w:eastAsia="宋体" w:cs="宋体"/>
                <w:bCs/>
                <w:kern w:val="0"/>
                <w:szCs w:val="21"/>
              </w:rPr>
              <w:t>1</w:t>
            </w:r>
          </w:p>
        </w:tc>
        <w:tc>
          <w:tcPr>
            <w:tcW w:w="2496" w:type="pct"/>
            <w:vAlign w:val="center"/>
          </w:tcPr>
          <w:p>
            <w:pPr>
              <w:pStyle w:val="11"/>
              <w:widowControl/>
              <w:ind w:firstLine="0" w:firstLineChars="0"/>
              <w:rPr>
                <w:rFonts w:ascii="宋体" w:hAnsi="宋体" w:eastAsia="宋体" w:cs="宋体"/>
                <w:bCs/>
                <w:kern w:val="0"/>
                <w:szCs w:val="21"/>
              </w:rPr>
            </w:pPr>
            <w:r>
              <w:rPr>
                <w:rFonts w:ascii="宋体" w:hAnsi="宋体" w:eastAsia="宋体" w:cs="宋体"/>
                <w:bCs/>
                <w:kern w:val="0"/>
                <w:szCs w:val="21"/>
              </w:rPr>
              <w:t>系统保障</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hint="eastAsia" w:ascii="宋体" w:hAnsi="宋体" w:eastAsia="宋体" w:cs="宋体"/>
                <w:bCs/>
                <w:kern w:val="0"/>
                <w:szCs w:val="21"/>
              </w:rPr>
              <w:t>2</w:t>
            </w:r>
          </w:p>
        </w:tc>
        <w:tc>
          <w:tcPr>
            <w:tcW w:w="2496" w:type="pct"/>
            <w:vAlign w:val="center"/>
          </w:tcPr>
          <w:p>
            <w:pPr>
              <w:pStyle w:val="11"/>
              <w:widowControl/>
              <w:ind w:firstLine="0" w:firstLineChars="0"/>
              <w:rPr>
                <w:rFonts w:ascii="宋体" w:hAnsi="宋体" w:eastAsia="宋体" w:cs="宋体"/>
                <w:bCs/>
                <w:kern w:val="0"/>
                <w:szCs w:val="21"/>
              </w:rPr>
            </w:pPr>
            <w:r>
              <w:rPr>
                <w:rFonts w:ascii="宋体" w:hAnsi="宋体" w:eastAsia="宋体" w:cs="宋体"/>
                <w:bCs/>
                <w:kern w:val="0"/>
                <w:szCs w:val="21"/>
              </w:rPr>
              <w:t>系统维护</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ascii="宋体" w:hAnsi="宋体" w:eastAsia="宋体" w:cs="宋体"/>
                <w:bCs/>
                <w:kern w:val="0"/>
                <w:szCs w:val="21"/>
              </w:rPr>
              <w:t>3</w:t>
            </w:r>
          </w:p>
        </w:tc>
        <w:tc>
          <w:tcPr>
            <w:tcW w:w="2496" w:type="pct"/>
            <w:vAlign w:val="center"/>
          </w:tcPr>
          <w:p>
            <w:pPr>
              <w:pStyle w:val="11"/>
              <w:widowControl/>
              <w:spacing w:line="360" w:lineRule="auto"/>
              <w:ind w:firstLine="0" w:firstLineChars="0"/>
              <w:rPr>
                <w:rFonts w:ascii="宋体" w:hAnsi="宋体" w:eastAsia="宋体" w:cs="宋体"/>
                <w:bCs/>
                <w:kern w:val="0"/>
                <w:szCs w:val="21"/>
              </w:rPr>
            </w:pPr>
            <w:r>
              <w:rPr>
                <w:rFonts w:ascii="宋体" w:hAnsi="宋体" w:eastAsia="宋体" w:cs="宋体"/>
                <w:bCs/>
                <w:kern w:val="0"/>
                <w:szCs w:val="21"/>
              </w:rPr>
              <w:t>系统</w:t>
            </w:r>
            <w:r>
              <w:rPr>
                <w:rFonts w:hint="eastAsia" w:ascii="宋体" w:hAnsi="宋体" w:eastAsia="宋体" w:cs="宋体"/>
                <w:bCs/>
                <w:kern w:val="0"/>
                <w:szCs w:val="21"/>
              </w:rPr>
              <w:t>功能完善</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ascii="宋体" w:hAnsi="宋体" w:eastAsia="宋体" w:cs="宋体"/>
                <w:bCs/>
                <w:kern w:val="0"/>
                <w:szCs w:val="21"/>
              </w:rPr>
              <w:t>4</w:t>
            </w:r>
          </w:p>
        </w:tc>
        <w:tc>
          <w:tcPr>
            <w:tcW w:w="2496" w:type="pct"/>
            <w:vAlign w:val="center"/>
          </w:tcPr>
          <w:p>
            <w:pPr>
              <w:pStyle w:val="11"/>
              <w:widowControl/>
              <w:spacing w:line="360" w:lineRule="auto"/>
              <w:ind w:firstLine="0" w:firstLineChars="0"/>
              <w:jc w:val="left"/>
              <w:rPr>
                <w:rFonts w:ascii="宋体" w:hAnsi="宋体" w:eastAsia="宋体" w:cs="宋体"/>
                <w:bCs/>
                <w:kern w:val="0"/>
                <w:szCs w:val="21"/>
              </w:rPr>
            </w:pPr>
            <w:r>
              <w:rPr>
                <w:rFonts w:ascii="宋体" w:hAnsi="宋体" w:eastAsia="宋体" w:cs="宋体"/>
                <w:bCs/>
                <w:kern w:val="0"/>
                <w:szCs w:val="21"/>
              </w:rPr>
              <w:t>系统培训</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ascii="宋体" w:hAnsi="宋体" w:eastAsia="宋体" w:cs="宋体"/>
                <w:bCs/>
                <w:kern w:val="0"/>
                <w:szCs w:val="21"/>
              </w:rPr>
              <w:t>5</w:t>
            </w:r>
          </w:p>
        </w:tc>
        <w:tc>
          <w:tcPr>
            <w:tcW w:w="2496" w:type="pct"/>
            <w:vAlign w:val="center"/>
          </w:tcPr>
          <w:p>
            <w:pPr>
              <w:pStyle w:val="11"/>
              <w:ind w:firstLine="0" w:firstLineChars="0"/>
              <w:rPr>
                <w:rFonts w:ascii="宋体" w:hAnsi="宋体" w:eastAsia="宋体" w:cs="宋体"/>
                <w:bCs/>
                <w:kern w:val="0"/>
                <w:szCs w:val="21"/>
              </w:rPr>
            </w:pPr>
            <w:r>
              <w:rPr>
                <w:rFonts w:ascii="宋体" w:hAnsi="宋体" w:eastAsia="宋体" w:cs="宋体"/>
                <w:bCs/>
                <w:kern w:val="0"/>
                <w:szCs w:val="21"/>
              </w:rPr>
              <w:t>业务咨询</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pct"/>
            <w:vAlign w:val="center"/>
          </w:tcPr>
          <w:p>
            <w:pPr>
              <w:pStyle w:val="11"/>
              <w:widowControl/>
              <w:spacing w:line="360" w:lineRule="auto"/>
              <w:ind w:firstLine="0" w:firstLineChars="0"/>
              <w:jc w:val="center"/>
              <w:rPr>
                <w:rFonts w:ascii="宋体" w:hAnsi="宋体" w:eastAsia="宋体" w:cs="宋体"/>
                <w:bCs/>
                <w:kern w:val="0"/>
                <w:szCs w:val="21"/>
              </w:rPr>
            </w:pPr>
            <w:r>
              <w:rPr>
                <w:rFonts w:hint="eastAsia" w:ascii="宋体" w:hAnsi="宋体" w:eastAsia="宋体" w:cs="宋体"/>
                <w:bCs/>
                <w:kern w:val="0"/>
                <w:szCs w:val="21"/>
              </w:rPr>
              <w:t>6</w:t>
            </w:r>
          </w:p>
        </w:tc>
        <w:tc>
          <w:tcPr>
            <w:tcW w:w="2496" w:type="pct"/>
            <w:vAlign w:val="center"/>
          </w:tcPr>
          <w:p>
            <w:pPr>
              <w:pStyle w:val="11"/>
              <w:ind w:firstLine="0" w:firstLineChars="0"/>
              <w:rPr>
                <w:rFonts w:ascii="宋体" w:hAnsi="宋体" w:eastAsia="宋体" w:cs="宋体"/>
                <w:bCs/>
                <w:kern w:val="0"/>
                <w:szCs w:val="21"/>
              </w:rPr>
            </w:pPr>
            <w:r>
              <w:rPr>
                <w:rFonts w:hint="eastAsia" w:ascii="宋体" w:hAnsi="宋体" w:eastAsia="宋体" w:cs="宋体"/>
                <w:bCs/>
                <w:kern w:val="0"/>
                <w:szCs w:val="21"/>
              </w:rPr>
              <w:t>运维人员服务</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hint="eastAsia" w:ascii="仿宋_GB2312" w:hAnsi="宋体" w:eastAsia="仿宋_GB2312"/>
                <w:bCs/>
                <w:szCs w:val="21"/>
              </w:rPr>
              <w:t>1</w:t>
            </w:r>
          </w:p>
        </w:tc>
        <w:tc>
          <w:tcPr>
            <w:tcW w:w="499"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套</w:t>
            </w:r>
          </w:p>
        </w:tc>
        <w:tc>
          <w:tcPr>
            <w:tcW w:w="1025" w:type="pct"/>
            <w:vAlign w:val="center"/>
          </w:tcPr>
          <w:p>
            <w:pPr>
              <w:pStyle w:val="11"/>
              <w:widowControl/>
              <w:spacing w:line="360" w:lineRule="auto"/>
              <w:ind w:firstLine="0" w:firstLineChars="0"/>
              <w:jc w:val="center"/>
              <w:rPr>
                <w:rFonts w:ascii="仿宋_GB2312" w:hAnsi="宋体" w:eastAsia="仿宋_GB2312"/>
                <w:bCs/>
                <w:szCs w:val="21"/>
              </w:rPr>
            </w:pPr>
            <w:r>
              <w:rPr>
                <w:rFonts w:ascii="仿宋_GB2312" w:hAnsi="宋体" w:eastAsia="仿宋_GB2312"/>
                <w:bCs/>
                <w:szCs w:val="21"/>
              </w:rPr>
              <w:t>服务</w:t>
            </w:r>
          </w:p>
        </w:tc>
      </w:tr>
    </w:tbl>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维护范围</w:t>
      </w:r>
    </w:p>
    <w:p>
      <w:pPr>
        <w:pStyle w:val="11"/>
        <w:spacing w:line="276" w:lineRule="auto"/>
        <w:ind w:firstLineChars="0"/>
        <w:rPr>
          <w:rFonts w:ascii="黑体" w:hAnsi="黑体" w:eastAsia="黑体"/>
          <w:bCs/>
          <w:sz w:val="32"/>
          <w:szCs w:val="32"/>
        </w:rPr>
      </w:pPr>
      <w:r>
        <w:rPr>
          <w:rFonts w:hint="eastAsia" w:ascii="仿宋_GB2312" w:hAnsi="宋体" w:eastAsia="仿宋_GB2312"/>
          <w:bCs/>
          <w:sz w:val="24"/>
        </w:rPr>
        <w:t>涵盖项目建设验收时所包含的县（市、区）（但不包括已更换了本基层机构信息系统的地区和由于自身原因升级/改造了本基层机构信息系统并与承建商单独签订了运维合同的地区）。</w:t>
      </w:r>
    </w:p>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技术、服务要求</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2086"/>
        <w:gridCol w:w="5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blHeader/>
        </w:trPr>
        <w:tc>
          <w:tcPr>
            <w:tcW w:w="395" w:type="pct"/>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序号</w:t>
            </w:r>
          </w:p>
        </w:tc>
        <w:tc>
          <w:tcPr>
            <w:tcW w:w="1225" w:type="pct"/>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货物（或服务）名称</w:t>
            </w:r>
          </w:p>
        </w:tc>
        <w:tc>
          <w:tcPr>
            <w:tcW w:w="3380" w:type="pct"/>
            <w:shd w:val="clear" w:color="auto" w:fill="auto"/>
            <w:vAlign w:val="center"/>
          </w:tcPr>
          <w:p>
            <w:pPr>
              <w:widowControl/>
              <w:jc w:val="center"/>
              <w:rPr>
                <w:rFonts w:ascii="仿宋_GB2312" w:hAnsi="宋体" w:eastAsia="仿宋_GB2312"/>
                <w:b/>
                <w:bCs/>
                <w:szCs w:val="21"/>
              </w:rPr>
            </w:pPr>
            <w:r>
              <w:rPr>
                <w:rFonts w:hint="eastAsia" w:ascii="仿宋_GB2312" w:hAnsi="宋体" w:eastAsia="仿宋_GB2312"/>
                <w:b/>
                <w:bCs/>
                <w:szCs w:val="21"/>
              </w:rPr>
              <w:t>功能及技术参数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restart"/>
            <w:shd w:val="clear" w:color="auto" w:fill="auto"/>
            <w:vAlign w:val="center"/>
          </w:tcPr>
          <w:p>
            <w:pPr>
              <w:widowControl/>
              <w:jc w:val="center"/>
              <w:rPr>
                <w:rFonts w:ascii="仿宋_GB2312" w:hAnsi="宋体" w:eastAsia="仿宋_GB2312"/>
                <w:bCs/>
                <w:sz w:val="24"/>
              </w:rPr>
            </w:pPr>
            <w:r>
              <w:rPr>
                <w:rFonts w:hint="eastAsia" w:ascii="仿宋_GB2312" w:hAnsi="宋体" w:eastAsia="仿宋_GB2312"/>
                <w:bCs/>
                <w:sz w:val="24"/>
              </w:rPr>
              <w:t>1</w:t>
            </w:r>
          </w:p>
        </w:tc>
        <w:tc>
          <w:tcPr>
            <w:tcW w:w="1225" w:type="pct"/>
            <w:vMerge w:val="restart"/>
            <w:shd w:val="clear" w:color="auto" w:fill="auto"/>
            <w:vAlign w:val="center"/>
          </w:tcPr>
          <w:p>
            <w:pPr>
              <w:widowControl/>
              <w:jc w:val="left"/>
              <w:rPr>
                <w:rFonts w:ascii="仿宋_GB2312" w:hAnsi="宋体" w:eastAsia="仿宋_GB2312"/>
                <w:bCs/>
                <w:sz w:val="24"/>
              </w:rPr>
            </w:pPr>
            <w:r>
              <w:rPr>
                <w:rFonts w:ascii="宋体" w:hAnsi="宋体" w:eastAsia="宋体" w:cs="宋体"/>
                <w:bCs/>
                <w:kern w:val="0"/>
                <w:szCs w:val="21"/>
              </w:rPr>
              <w:t>系统保障</w:t>
            </w: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保障部署在全省各地的基层卫生机构管理信息系统版本统一和稳定运行，按照全省统一的实际需求，优化系统流程和辅助性提示界面，对系统实施数据整合，实现系统的统一数据库，及时排查系统相关业务功能模块的故障和问题，保障系统正常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continue"/>
            <w:shd w:val="clear" w:color="auto" w:fill="auto"/>
            <w:vAlign w:val="center"/>
          </w:tcPr>
          <w:p>
            <w:pPr>
              <w:widowControl/>
              <w:jc w:val="center"/>
              <w:rPr>
                <w:rFonts w:ascii="仿宋_GB2312" w:hAnsi="宋体" w:eastAsia="仿宋_GB2312"/>
                <w:bCs/>
                <w:sz w:val="24"/>
              </w:rPr>
            </w:pPr>
          </w:p>
        </w:tc>
        <w:tc>
          <w:tcPr>
            <w:tcW w:w="1225" w:type="pct"/>
            <w:vMerge w:val="continue"/>
            <w:shd w:val="clear" w:color="auto" w:fill="auto"/>
            <w:vAlign w:val="center"/>
          </w:tcPr>
          <w:p>
            <w:pPr>
              <w:widowControl/>
              <w:jc w:val="left"/>
              <w:rPr>
                <w:rFonts w:ascii="仿宋_GB2312" w:hAnsi="宋体" w:eastAsia="仿宋_GB2312"/>
                <w:bCs/>
                <w:sz w:val="24"/>
              </w:rPr>
            </w:pP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2、日常监控系统各个业务子系统数据交换，确保数据的正确传输。协助保障系统与全民健康信息平台及公共卫生、居民健康卡卡管平台等相关系统对接的外部平台系统接口互通，数据安全正确传输。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restart"/>
            <w:shd w:val="clear" w:color="auto" w:fill="auto"/>
            <w:vAlign w:val="center"/>
          </w:tcPr>
          <w:p>
            <w:pPr>
              <w:widowControl/>
              <w:jc w:val="center"/>
              <w:rPr>
                <w:rFonts w:ascii="仿宋_GB2312" w:hAnsi="宋体" w:eastAsia="仿宋_GB2312"/>
                <w:bCs/>
                <w:sz w:val="24"/>
              </w:rPr>
            </w:pPr>
            <w:r>
              <w:rPr>
                <w:rFonts w:hint="eastAsia" w:ascii="仿宋_GB2312" w:hAnsi="宋体" w:eastAsia="仿宋_GB2312"/>
                <w:bCs/>
                <w:sz w:val="24"/>
              </w:rPr>
              <w:t>2</w:t>
            </w:r>
          </w:p>
        </w:tc>
        <w:tc>
          <w:tcPr>
            <w:tcW w:w="1225" w:type="pct"/>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系统维护</w:t>
            </w: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对发现的系统隐藏性缺陷或操作不便利等问题定期进行修复，按照国家和省级政策性调整和业务需求，开发更新系统软件版本，在现有基层医疗卫生机构管理信息系统业务架构基础上提供全省统一的系统版本升级服务，提供相应的版本更新记录、用户使用技巧及常见问题处理的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continue"/>
            <w:shd w:val="clear" w:color="auto" w:fill="auto"/>
            <w:vAlign w:val="center"/>
          </w:tcPr>
          <w:p>
            <w:pPr>
              <w:widowControl/>
              <w:jc w:val="center"/>
              <w:rPr>
                <w:rFonts w:ascii="仿宋_GB2312" w:hAnsi="宋体" w:eastAsia="仿宋_GB2312"/>
                <w:bCs/>
                <w:sz w:val="24"/>
              </w:rPr>
            </w:pPr>
          </w:p>
        </w:tc>
        <w:tc>
          <w:tcPr>
            <w:tcW w:w="1225" w:type="pct"/>
            <w:vMerge w:val="continue"/>
            <w:shd w:val="clear" w:color="auto" w:fill="auto"/>
            <w:vAlign w:val="center"/>
          </w:tcPr>
          <w:p>
            <w:pPr>
              <w:widowControl/>
              <w:jc w:val="left"/>
              <w:rPr>
                <w:rFonts w:ascii="仿宋_GB2312" w:hAnsi="宋体" w:eastAsia="仿宋_GB2312"/>
                <w:bCs/>
                <w:sz w:val="24"/>
              </w:rPr>
            </w:pPr>
          </w:p>
        </w:tc>
        <w:tc>
          <w:tcPr>
            <w:tcW w:w="3380" w:type="pct"/>
            <w:shd w:val="clear" w:color="auto" w:fill="auto"/>
            <w:vAlign w:val="center"/>
          </w:tcPr>
          <w:p>
            <w:pPr>
              <w:widowControl/>
              <w:jc w:val="left"/>
              <w:rPr>
                <w:rFonts w:ascii="仿宋_GB2312" w:hAnsi="宋体" w:eastAsia="仿宋_GB2312"/>
                <w:bCs/>
                <w:sz w:val="24"/>
              </w:rPr>
            </w:pPr>
            <w:r>
              <w:rPr>
                <w:rFonts w:ascii="仿宋_GB2312" w:hAnsi="宋体" w:eastAsia="仿宋_GB2312"/>
                <w:bCs/>
                <w:sz w:val="24"/>
              </w:rPr>
              <w:t>2</w:t>
            </w:r>
            <w:r>
              <w:rPr>
                <w:rFonts w:hint="eastAsia" w:ascii="仿宋_GB2312" w:hAnsi="宋体" w:eastAsia="仿宋_GB2312"/>
                <w:bCs/>
                <w:sz w:val="24"/>
              </w:rPr>
              <w:t>、功能维护</w:t>
            </w:r>
          </w:p>
          <w:p>
            <w:pPr>
              <w:widowControl/>
              <w:jc w:val="left"/>
              <w:rPr>
                <w:rFonts w:ascii="仿宋_GB2312" w:hAnsi="宋体" w:eastAsia="仿宋_GB2312"/>
                <w:bCs/>
                <w:sz w:val="24"/>
              </w:rPr>
            </w:pPr>
            <w:r>
              <w:rPr>
                <w:rFonts w:ascii="仿宋_GB2312" w:hAnsi="宋体" w:eastAsia="仿宋_GB2312"/>
                <w:bCs/>
                <w:sz w:val="24"/>
              </w:rPr>
              <w:t>2</w:t>
            </w:r>
            <w:r>
              <w:rPr>
                <w:rFonts w:hint="eastAsia" w:ascii="仿宋_GB2312" w:hAnsi="宋体" w:eastAsia="仿宋_GB2312"/>
                <w:bCs/>
                <w:sz w:val="24"/>
              </w:rPr>
              <w:t>.1整理优化基层医疗卫生管理信息系统的业务流程，保障业务系统适应国家及省卫健委的政策调整（如电子病历应用管理规范、最新版电子病历书写规范等）及业务需求。</w:t>
            </w:r>
          </w:p>
          <w:p>
            <w:pPr>
              <w:widowControl/>
              <w:jc w:val="left"/>
              <w:rPr>
                <w:rFonts w:ascii="仿宋_GB2312" w:hAnsi="宋体" w:eastAsia="仿宋_GB2312"/>
                <w:bCs/>
                <w:sz w:val="24"/>
              </w:rPr>
            </w:pPr>
            <w:r>
              <w:rPr>
                <w:rFonts w:ascii="仿宋_GB2312" w:hAnsi="宋体" w:eastAsia="仿宋_GB2312"/>
                <w:bCs/>
                <w:sz w:val="24"/>
              </w:rPr>
              <w:t>2.</w:t>
            </w:r>
            <w:r>
              <w:rPr>
                <w:rFonts w:hint="eastAsia" w:ascii="仿宋_GB2312" w:hAnsi="宋体" w:eastAsia="仿宋_GB2312"/>
                <w:bCs/>
                <w:sz w:val="24"/>
              </w:rPr>
              <w:t>2按照省卫计委政策规范、业务需求和实际应用要求，完善基层医疗卫生机构管理信息系统功能，保障全省基层医疗卫生机构正常医疗工作的开展。</w:t>
            </w:r>
          </w:p>
          <w:p>
            <w:pPr>
              <w:widowControl/>
              <w:jc w:val="left"/>
              <w:rPr>
                <w:rFonts w:ascii="仿宋_GB2312" w:hAnsi="宋体" w:eastAsia="仿宋_GB2312"/>
                <w:bCs/>
                <w:sz w:val="24"/>
              </w:rPr>
            </w:pPr>
            <w:r>
              <w:rPr>
                <w:rFonts w:ascii="仿宋_GB2312" w:hAnsi="宋体" w:eastAsia="仿宋_GB2312"/>
                <w:bCs/>
                <w:sz w:val="24"/>
              </w:rPr>
              <w:t>2</w:t>
            </w:r>
            <w:r>
              <w:rPr>
                <w:rFonts w:hint="eastAsia" w:ascii="仿宋_GB2312" w:hAnsi="宋体" w:eastAsia="仿宋_GB2312"/>
                <w:bCs/>
                <w:sz w:val="24"/>
              </w:rPr>
              <w:t>.3提供系统医疗服务业务数据质量校验、反馈和核对功能，提高数据的整体质量，并在全省基层医疗卫生机构执行。</w:t>
            </w:r>
          </w:p>
          <w:p>
            <w:pPr>
              <w:widowControl/>
              <w:jc w:val="left"/>
              <w:rPr>
                <w:rFonts w:ascii="仿宋_GB2312" w:hAnsi="宋体" w:eastAsia="仿宋_GB2312"/>
                <w:bCs/>
                <w:sz w:val="24"/>
              </w:rPr>
            </w:pPr>
            <w:r>
              <w:rPr>
                <w:rFonts w:ascii="仿宋_GB2312" w:hAnsi="宋体" w:eastAsia="仿宋_GB2312"/>
                <w:bCs/>
                <w:sz w:val="24"/>
              </w:rPr>
              <w:t>2</w:t>
            </w:r>
            <w:r>
              <w:rPr>
                <w:rFonts w:hint="eastAsia" w:ascii="仿宋_GB2312" w:hAnsi="宋体" w:eastAsia="仿宋_GB2312"/>
                <w:bCs/>
                <w:sz w:val="24"/>
              </w:rPr>
              <w:t>.4提供系统的数据抽取和统计分析服务，针对各类数据统计、审计检查的要求，整理分散在各区县的现有系统数据。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continue"/>
            <w:shd w:val="clear" w:color="auto" w:fill="auto"/>
            <w:vAlign w:val="center"/>
          </w:tcPr>
          <w:p>
            <w:pPr>
              <w:widowControl/>
              <w:jc w:val="center"/>
              <w:rPr>
                <w:rFonts w:ascii="仿宋_GB2312" w:hAnsi="宋体" w:eastAsia="仿宋_GB2312"/>
                <w:bCs/>
                <w:sz w:val="24"/>
              </w:rPr>
            </w:pPr>
          </w:p>
        </w:tc>
        <w:tc>
          <w:tcPr>
            <w:tcW w:w="1225" w:type="pct"/>
            <w:vMerge w:val="continue"/>
            <w:shd w:val="clear" w:color="auto" w:fill="auto"/>
            <w:vAlign w:val="center"/>
          </w:tcPr>
          <w:p>
            <w:pPr>
              <w:widowControl/>
              <w:jc w:val="left"/>
              <w:rPr>
                <w:rFonts w:ascii="仿宋_GB2312" w:hAnsi="宋体" w:eastAsia="仿宋_GB2312"/>
                <w:bCs/>
                <w:sz w:val="24"/>
              </w:rPr>
            </w:pP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3、需提供与居民医保系统接口的升级和维护服务，协助基层医疗机构处理异常数据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restart"/>
            <w:shd w:val="clear" w:color="auto" w:fill="auto"/>
            <w:vAlign w:val="center"/>
          </w:tcPr>
          <w:p>
            <w:pPr>
              <w:widowControl/>
              <w:jc w:val="center"/>
              <w:rPr>
                <w:rFonts w:ascii="仿宋_GB2312" w:hAnsi="宋体" w:eastAsia="仿宋_GB2312"/>
                <w:bCs/>
                <w:sz w:val="24"/>
              </w:rPr>
            </w:pPr>
            <w:r>
              <w:rPr>
                <w:rFonts w:hint="eastAsia" w:ascii="仿宋_GB2312" w:hAnsi="宋体" w:eastAsia="仿宋_GB2312"/>
                <w:bCs/>
                <w:sz w:val="24"/>
              </w:rPr>
              <w:t>3</w:t>
            </w:r>
          </w:p>
        </w:tc>
        <w:tc>
          <w:tcPr>
            <w:tcW w:w="1225" w:type="pct"/>
            <w:vMerge w:val="restart"/>
            <w:shd w:val="clear" w:color="auto" w:fill="auto"/>
            <w:vAlign w:val="center"/>
          </w:tcPr>
          <w:p>
            <w:pPr>
              <w:widowControl/>
              <w:jc w:val="left"/>
              <w:rPr>
                <w:rFonts w:ascii="仿宋_GB2312" w:hAnsi="宋体" w:eastAsia="仿宋_GB2312"/>
                <w:bCs/>
                <w:sz w:val="24"/>
              </w:rPr>
            </w:pPr>
            <w:r>
              <w:rPr>
                <w:rFonts w:ascii="宋体" w:hAnsi="宋体" w:eastAsia="宋体" w:cs="宋体"/>
                <w:bCs/>
                <w:kern w:val="0"/>
                <w:szCs w:val="21"/>
              </w:rPr>
              <w:t>系统</w:t>
            </w:r>
            <w:r>
              <w:rPr>
                <w:rFonts w:hint="eastAsia" w:ascii="宋体" w:hAnsi="宋体" w:eastAsia="宋体" w:cs="宋体"/>
                <w:bCs/>
                <w:kern w:val="0"/>
                <w:szCs w:val="21"/>
              </w:rPr>
              <w:t>功能完善</w:t>
            </w: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完善系统内部医疗服务与公共卫生模块间的互联互通，以及系统医疗服务与当地其他公共卫生系统间的互联互通，开发相应的接口模块，实现医疗服务端能即时方便的查阅患者健康档案和电子病历，同时医疗服务端患者的诊疗信息能及时推送到公共卫生端，并能根据诊断结果提醒公卫医师为患者开展相应的公共卫生服务，达到医卫业务协同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continue"/>
            <w:shd w:val="clear" w:color="auto" w:fill="auto"/>
            <w:vAlign w:val="center"/>
          </w:tcPr>
          <w:p>
            <w:pPr>
              <w:widowControl/>
              <w:jc w:val="center"/>
              <w:rPr>
                <w:rFonts w:ascii="仿宋_GB2312" w:hAnsi="宋体" w:eastAsia="仿宋_GB2312"/>
                <w:bCs/>
                <w:sz w:val="24"/>
              </w:rPr>
            </w:pPr>
          </w:p>
        </w:tc>
        <w:tc>
          <w:tcPr>
            <w:tcW w:w="1225" w:type="pct"/>
            <w:vMerge w:val="continue"/>
            <w:shd w:val="clear" w:color="auto" w:fill="auto"/>
            <w:vAlign w:val="center"/>
          </w:tcPr>
          <w:p>
            <w:pPr>
              <w:widowControl/>
              <w:jc w:val="left"/>
              <w:rPr>
                <w:rFonts w:ascii="仿宋_GB2312" w:hAnsi="宋体" w:eastAsia="仿宋_GB2312"/>
                <w:bCs/>
                <w:sz w:val="24"/>
              </w:rPr>
            </w:pPr>
          </w:p>
        </w:tc>
        <w:tc>
          <w:tcPr>
            <w:tcW w:w="3380" w:type="pct"/>
            <w:shd w:val="clear" w:color="auto" w:fill="auto"/>
            <w:vAlign w:val="center"/>
          </w:tcPr>
          <w:p>
            <w:pPr>
              <w:widowControl/>
              <w:jc w:val="left"/>
              <w:rPr>
                <w:rFonts w:ascii="仿宋_GB2312" w:hAnsi="宋体" w:eastAsia="仿宋_GB2312"/>
                <w:bCs/>
                <w:sz w:val="24"/>
              </w:rPr>
            </w:pPr>
            <w:r>
              <w:rPr>
                <w:rFonts w:ascii="仿宋_GB2312" w:hAnsi="宋体" w:eastAsia="仿宋_GB2312"/>
                <w:bCs/>
                <w:sz w:val="24"/>
              </w:rPr>
              <w:t>2</w:t>
            </w:r>
            <w:r>
              <w:rPr>
                <w:rFonts w:hint="eastAsia" w:ascii="仿宋_GB2312" w:hAnsi="宋体" w:eastAsia="仿宋_GB2312"/>
                <w:bCs/>
                <w:sz w:val="24"/>
              </w:rPr>
              <w:t>、协助对接省级全民健康信息平台、省级健康医疗大数据中心及省卫生人力资源、医疗机构基本信息管理项目等相关系统，获取基层医疗卫生综合资源以及医疗服务等方面信息。</w:t>
            </w:r>
            <w:r>
              <w:rPr>
                <w:rFonts w:ascii="仿宋_GB2312" w:hAnsi="宋体" w:eastAsia="仿宋_GB2312"/>
                <w:bCs/>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continue"/>
            <w:shd w:val="clear" w:color="auto" w:fill="auto"/>
            <w:vAlign w:val="center"/>
          </w:tcPr>
          <w:p>
            <w:pPr>
              <w:widowControl/>
              <w:jc w:val="center"/>
              <w:rPr>
                <w:rFonts w:ascii="仿宋_GB2312" w:hAnsi="宋体" w:eastAsia="仿宋_GB2312"/>
                <w:bCs/>
                <w:sz w:val="24"/>
              </w:rPr>
            </w:pPr>
          </w:p>
        </w:tc>
        <w:tc>
          <w:tcPr>
            <w:tcW w:w="1225" w:type="pct"/>
            <w:vMerge w:val="continue"/>
            <w:shd w:val="clear" w:color="auto" w:fill="auto"/>
            <w:vAlign w:val="center"/>
          </w:tcPr>
          <w:p>
            <w:pPr>
              <w:widowControl/>
              <w:jc w:val="left"/>
              <w:rPr>
                <w:rFonts w:ascii="仿宋_GB2312" w:hAnsi="宋体" w:eastAsia="仿宋_GB2312"/>
                <w:bCs/>
                <w:sz w:val="24"/>
              </w:rPr>
            </w:pP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3、</w:t>
            </w:r>
            <w:r>
              <w:rPr>
                <w:rFonts w:ascii="仿宋_GB2312" w:hAnsi="宋体" w:eastAsia="仿宋_GB2312"/>
                <w:bCs/>
                <w:sz w:val="24"/>
              </w:rPr>
              <w:t>按照</w:t>
            </w:r>
            <w:r>
              <w:rPr>
                <w:rFonts w:hint="eastAsia" w:ascii="仿宋_GB2312" w:hAnsi="宋体" w:eastAsia="仿宋_GB2312"/>
                <w:bCs/>
                <w:sz w:val="24"/>
              </w:rPr>
              <w:t>健康医疗大数据中心及应用支撑建设完成基层医疗项目要求，根据省卫</w:t>
            </w:r>
            <w:r>
              <w:rPr>
                <w:rFonts w:hint="eastAsia" w:ascii="仿宋_GB2312" w:hAnsi="宋体" w:eastAsia="仿宋_GB2312"/>
                <w:bCs/>
                <w:sz w:val="24"/>
                <w:lang w:val="en-US" w:eastAsia="zh-CN"/>
              </w:rPr>
              <w:t>健</w:t>
            </w:r>
            <w:r>
              <w:rPr>
                <w:rFonts w:hint="eastAsia" w:ascii="仿宋_GB2312" w:hAnsi="宋体" w:eastAsia="仿宋_GB2312"/>
                <w:bCs/>
                <w:sz w:val="24"/>
              </w:rPr>
              <w:t>委新的数据集标准上传基层医疗数据。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vMerge w:val="continue"/>
            <w:shd w:val="clear" w:color="auto" w:fill="auto"/>
            <w:vAlign w:val="center"/>
          </w:tcPr>
          <w:p>
            <w:pPr>
              <w:widowControl/>
              <w:jc w:val="center"/>
              <w:rPr>
                <w:rFonts w:ascii="仿宋_GB2312" w:hAnsi="宋体" w:eastAsia="仿宋_GB2312"/>
                <w:bCs/>
                <w:sz w:val="24"/>
              </w:rPr>
            </w:pPr>
          </w:p>
        </w:tc>
        <w:tc>
          <w:tcPr>
            <w:tcW w:w="1225" w:type="pct"/>
            <w:vMerge w:val="continue"/>
            <w:shd w:val="clear" w:color="auto" w:fill="auto"/>
            <w:vAlign w:val="center"/>
          </w:tcPr>
          <w:p>
            <w:pPr>
              <w:widowControl/>
              <w:jc w:val="left"/>
              <w:rPr>
                <w:rFonts w:ascii="仿宋_GB2312" w:hAnsi="宋体" w:eastAsia="仿宋_GB2312"/>
                <w:bCs/>
                <w:sz w:val="24"/>
              </w:rPr>
            </w:pP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4、协助省卫</w:t>
            </w:r>
            <w:r>
              <w:rPr>
                <w:rFonts w:hint="eastAsia" w:ascii="仿宋_GB2312" w:hAnsi="宋体" w:eastAsia="仿宋_GB2312"/>
                <w:bCs/>
                <w:sz w:val="24"/>
                <w:lang w:val="en-US" w:eastAsia="zh-CN"/>
              </w:rPr>
              <w:t>健</w:t>
            </w:r>
            <w:r>
              <w:rPr>
                <w:rFonts w:hint="eastAsia" w:ascii="仿宋_GB2312" w:hAnsi="宋体" w:eastAsia="仿宋_GB2312"/>
                <w:bCs/>
                <w:sz w:val="24"/>
              </w:rPr>
              <w:t>委按照国家规范，扩充湖北省全民健康平台标准。需按照国家卫健委的平台标准规范要求升级全民健康信息平台接口。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shd w:val="clear" w:color="auto" w:fill="auto"/>
            <w:vAlign w:val="center"/>
          </w:tcPr>
          <w:p>
            <w:pPr>
              <w:widowControl/>
              <w:jc w:val="center"/>
              <w:rPr>
                <w:rFonts w:ascii="仿宋_GB2312" w:hAnsi="宋体" w:eastAsia="仿宋_GB2312"/>
                <w:bCs/>
                <w:sz w:val="24"/>
              </w:rPr>
            </w:pPr>
            <w:r>
              <w:rPr>
                <w:rFonts w:ascii="仿宋_GB2312" w:hAnsi="宋体" w:eastAsia="仿宋_GB2312"/>
                <w:bCs/>
                <w:sz w:val="24"/>
              </w:rPr>
              <w:t>4</w:t>
            </w:r>
          </w:p>
        </w:tc>
        <w:tc>
          <w:tcPr>
            <w:tcW w:w="1225"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集中培训</w:t>
            </w: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1、供应商需承诺免费提供2次以上全省系统操作管理人员业务系统的应用培训，供应商需提供切实可行的培训方案。</w:t>
            </w:r>
          </w:p>
          <w:p>
            <w:pPr>
              <w:widowControl/>
              <w:jc w:val="left"/>
              <w:rPr>
                <w:rFonts w:ascii="仿宋_GB2312" w:hAnsi="宋体" w:eastAsia="仿宋_GB2312"/>
                <w:bCs/>
                <w:sz w:val="24"/>
              </w:rPr>
            </w:pPr>
            <w:r>
              <w:rPr>
                <w:rFonts w:hint="eastAsia" w:ascii="仿宋_GB2312" w:hAnsi="宋体" w:eastAsia="仿宋_GB2312"/>
                <w:bCs/>
                <w:sz w:val="24"/>
              </w:rPr>
              <w:t>2、根据各县（市、区）卫健</w:t>
            </w:r>
            <w:bookmarkStart w:id="6" w:name="_GoBack"/>
            <w:bookmarkEnd w:id="6"/>
            <w:r>
              <w:rPr>
                <w:rFonts w:hint="eastAsia" w:ascii="仿宋_GB2312" w:hAnsi="宋体" w:eastAsia="仿宋_GB2312"/>
                <w:bCs/>
                <w:sz w:val="24"/>
              </w:rPr>
              <w:t>局业务开展的实现要求，为各县（市、区）卫健局提供现场集中培训、答疑和指导。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shd w:val="clear" w:color="auto" w:fill="auto"/>
            <w:vAlign w:val="center"/>
          </w:tcPr>
          <w:p>
            <w:pPr>
              <w:widowControl/>
              <w:jc w:val="center"/>
              <w:rPr>
                <w:rFonts w:ascii="仿宋_GB2312" w:hAnsi="宋体" w:eastAsia="仿宋_GB2312"/>
                <w:bCs/>
                <w:sz w:val="24"/>
              </w:rPr>
            </w:pPr>
            <w:r>
              <w:rPr>
                <w:rFonts w:ascii="仿宋_GB2312" w:hAnsi="宋体" w:eastAsia="仿宋_GB2312"/>
                <w:bCs/>
                <w:sz w:val="24"/>
              </w:rPr>
              <w:t>5</w:t>
            </w:r>
          </w:p>
        </w:tc>
        <w:tc>
          <w:tcPr>
            <w:tcW w:w="1225" w:type="pct"/>
            <w:shd w:val="clear" w:color="auto" w:fill="auto"/>
            <w:vAlign w:val="center"/>
          </w:tcPr>
          <w:p>
            <w:pPr>
              <w:widowControl/>
              <w:jc w:val="left"/>
              <w:rPr>
                <w:rFonts w:ascii="仿宋_GB2312" w:hAnsi="宋体" w:eastAsia="仿宋_GB2312"/>
                <w:bCs/>
                <w:sz w:val="24"/>
              </w:rPr>
            </w:pPr>
            <w:r>
              <w:rPr>
                <w:rFonts w:ascii="宋体" w:hAnsi="宋体" w:eastAsia="宋体" w:cs="宋体"/>
                <w:bCs/>
                <w:kern w:val="0"/>
                <w:szCs w:val="21"/>
              </w:rPr>
              <w:t>业务咨询</w:t>
            </w: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根据湖北省卫健委相关处室要求，针对基层卫生机构管理信息系统为省市级集中培训会或视频会议提供讲师培训和咨询服务，对省、市、县市区及基层用户单位的应用操作培训和集中答疑。日常为全省各地应用本系统的行政部门和医疗卫生机构提供在线和电话辅助处理问题和指导答疑服务。特殊或紧急情况下，提供上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395" w:type="pct"/>
            <w:shd w:val="clear" w:color="auto" w:fill="auto"/>
            <w:vAlign w:val="center"/>
          </w:tcPr>
          <w:p>
            <w:pPr>
              <w:widowControl/>
              <w:jc w:val="center"/>
              <w:rPr>
                <w:rFonts w:ascii="仿宋_GB2312" w:hAnsi="宋体" w:eastAsia="仿宋_GB2312"/>
                <w:bCs/>
                <w:sz w:val="24"/>
              </w:rPr>
            </w:pPr>
            <w:r>
              <w:rPr>
                <w:rFonts w:hint="eastAsia" w:ascii="仿宋_GB2312" w:hAnsi="宋体" w:eastAsia="仿宋_GB2312"/>
                <w:bCs/>
                <w:sz w:val="24"/>
              </w:rPr>
              <w:t>6</w:t>
            </w:r>
          </w:p>
        </w:tc>
        <w:tc>
          <w:tcPr>
            <w:tcW w:w="1225" w:type="pct"/>
            <w:shd w:val="clear" w:color="auto" w:fill="auto"/>
            <w:vAlign w:val="center"/>
          </w:tcPr>
          <w:p>
            <w:pPr>
              <w:widowControl/>
              <w:jc w:val="left"/>
              <w:rPr>
                <w:rFonts w:ascii="宋体" w:hAnsi="宋体" w:eastAsia="宋体" w:cs="宋体"/>
                <w:bCs/>
                <w:kern w:val="0"/>
                <w:szCs w:val="21"/>
              </w:rPr>
            </w:pPr>
            <w:r>
              <w:rPr>
                <w:rFonts w:hint="eastAsia" w:ascii="仿宋_GB2312" w:hAnsi="宋体" w:eastAsia="仿宋_GB2312"/>
                <w:bCs/>
                <w:sz w:val="24"/>
              </w:rPr>
              <w:t>运维人员服务</w:t>
            </w:r>
          </w:p>
        </w:tc>
        <w:tc>
          <w:tcPr>
            <w:tcW w:w="3380" w:type="pc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1、由于本项目服务范围广，技术要求高，供应商应按照用户要求成立服务项目组，并提供技术团队支持服务项目组，应提供针对全省各地区分片对应的维护人员名单。</w:t>
            </w:r>
          </w:p>
          <w:p>
            <w:pPr>
              <w:widowControl/>
              <w:jc w:val="left"/>
              <w:rPr>
                <w:rFonts w:ascii="仿宋_GB2312" w:hAnsi="宋体" w:eastAsia="仿宋_GB2312"/>
                <w:bCs/>
                <w:sz w:val="24"/>
              </w:rPr>
            </w:pPr>
            <w:r>
              <w:rPr>
                <w:rFonts w:ascii="仿宋_GB2312" w:hAnsi="宋体" w:eastAsia="仿宋_GB2312"/>
                <w:bCs/>
                <w:sz w:val="24"/>
              </w:rPr>
              <w:t>2</w:t>
            </w:r>
            <w:r>
              <w:rPr>
                <w:rFonts w:hint="eastAsia" w:ascii="仿宋_GB2312" w:hAnsi="宋体" w:eastAsia="仿宋_GB2312"/>
                <w:bCs/>
                <w:sz w:val="24"/>
              </w:rPr>
              <w:t>、供应商需承诺维护人员参与过类似基层医疗卫生机构管理信息系统开发，熟悉各模块及功能，能够保障各方面运维的服务工程师进行系统升级改造和日常运维服务。</w:t>
            </w:r>
          </w:p>
          <w:p>
            <w:pPr>
              <w:widowControl/>
              <w:jc w:val="left"/>
              <w:rPr>
                <w:rFonts w:ascii="仿宋_GB2312" w:hAnsi="宋体" w:eastAsia="仿宋_GB2312"/>
                <w:bCs/>
                <w:sz w:val="24"/>
              </w:rPr>
            </w:pPr>
            <w:r>
              <w:rPr>
                <w:rFonts w:hint="eastAsia" w:ascii="仿宋_GB2312" w:hAnsi="宋体" w:eastAsia="仿宋_GB2312"/>
                <w:bCs/>
                <w:sz w:val="24"/>
              </w:rPr>
              <w:t>3、拟派的项目经理要求具有丰富项目管理经验的资深工程师担任。项目经理要具有信息系统项目管理师或PMP资质。</w:t>
            </w:r>
          </w:p>
          <w:p>
            <w:pPr>
              <w:widowControl/>
              <w:jc w:val="left"/>
              <w:rPr>
                <w:rFonts w:ascii="仿宋_GB2312" w:hAnsi="宋体" w:eastAsia="仿宋_GB2312"/>
                <w:bCs/>
                <w:sz w:val="24"/>
              </w:rPr>
            </w:pPr>
            <w:r>
              <w:rPr>
                <w:rFonts w:hint="eastAsia" w:ascii="仿宋_GB2312" w:hAnsi="宋体" w:eastAsia="仿宋_GB2312"/>
                <w:bCs/>
                <w:sz w:val="24"/>
              </w:rPr>
              <w:t>4、由于本服务项目包含升级改造的内容，供应商提供技术团队至少需包含高级程序员1人、系统分析师1人、系统设计师1人等。</w:t>
            </w:r>
          </w:p>
          <w:p>
            <w:pPr>
              <w:widowControl/>
              <w:jc w:val="left"/>
              <w:rPr>
                <w:rFonts w:ascii="仿宋_GB2312" w:hAnsi="宋体" w:eastAsia="仿宋_GB2312"/>
                <w:bCs/>
                <w:sz w:val="24"/>
              </w:rPr>
            </w:pPr>
            <w:r>
              <w:rPr>
                <w:rFonts w:hint="eastAsia" w:ascii="仿宋_GB2312" w:hAnsi="宋体" w:eastAsia="仿宋_GB2312"/>
                <w:bCs/>
                <w:sz w:val="24"/>
              </w:rPr>
              <w:t>5、由于本项目运维过程中会涉及信息安全、数据库维护等问题，供应商提供技术团队至少需包含数据库工程师1人、网络工程师1人、信息安全工程师1人等。</w:t>
            </w:r>
          </w:p>
        </w:tc>
      </w:tr>
    </w:tbl>
    <w:p>
      <w:pPr>
        <w:pStyle w:val="11"/>
        <w:widowControl/>
        <w:numPr>
          <w:ilvl w:val="0"/>
          <w:numId w:val="1"/>
        </w:numPr>
        <w:spacing w:line="360" w:lineRule="auto"/>
        <w:ind w:firstLineChars="0"/>
        <w:jc w:val="left"/>
        <w:rPr>
          <w:rFonts w:ascii="黑体" w:hAnsi="黑体" w:eastAsia="黑体"/>
          <w:bCs/>
          <w:sz w:val="32"/>
          <w:szCs w:val="32"/>
        </w:rPr>
      </w:pPr>
      <w:r>
        <w:rPr>
          <w:rFonts w:hint="eastAsia" w:ascii="黑体" w:hAnsi="黑体" w:eastAsia="黑体"/>
          <w:bCs/>
          <w:sz w:val="32"/>
          <w:szCs w:val="32"/>
        </w:rPr>
        <w:t>商务要求</w:t>
      </w:r>
    </w:p>
    <w:tbl>
      <w:tblPr>
        <w:tblStyle w:val="7"/>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17" w:type="dxa"/>
            <w:shd w:val="clear" w:color="auto" w:fill="auto"/>
            <w:vAlign w:val="center"/>
          </w:tcPr>
          <w:p>
            <w:pPr>
              <w:tabs>
                <w:tab w:val="left" w:pos="72"/>
                <w:tab w:val="left" w:pos="130"/>
              </w:tabs>
              <w:snapToGrid w:val="0"/>
              <w:spacing w:line="360" w:lineRule="auto"/>
              <w:jc w:val="center"/>
              <w:rPr>
                <w:rFonts w:asciiTheme="minorEastAsia" w:hAnsiTheme="minorEastAsia"/>
                <w:b/>
                <w:sz w:val="24"/>
              </w:rPr>
            </w:pPr>
            <w:r>
              <w:rPr>
                <w:rFonts w:hint="eastAsia" w:ascii="仿宋_GB2312" w:hAnsi="宋体" w:eastAsia="仿宋_GB2312"/>
                <w:b/>
                <w:bCs/>
                <w:sz w:val="24"/>
              </w:rPr>
              <w:t>序号</w:t>
            </w:r>
          </w:p>
        </w:tc>
        <w:tc>
          <w:tcPr>
            <w:tcW w:w="1418"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商务条款</w:t>
            </w:r>
          </w:p>
        </w:tc>
        <w:tc>
          <w:tcPr>
            <w:tcW w:w="6095" w:type="dxa"/>
            <w:shd w:val="clear" w:color="auto" w:fill="auto"/>
            <w:vAlign w:val="center"/>
          </w:tcPr>
          <w:p>
            <w:pPr>
              <w:widowControl/>
              <w:jc w:val="center"/>
              <w:rPr>
                <w:rFonts w:ascii="仿宋_GB2312" w:hAnsi="宋体" w:eastAsia="仿宋_GB2312"/>
                <w:b/>
                <w:bCs/>
                <w:sz w:val="24"/>
              </w:rPr>
            </w:pPr>
            <w:r>
              <w:rPr>
                <w:rFonts w:hint="eastAsia" w:ascii="仿宋_GB2312" w:hAnsi="宋体" w:eastAsia="仿宋_GB2312"/>
                <w:b/>
                <w:bCs/>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工期要求</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合同签订后一年内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实施地点</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restart"/>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restart"/>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报价要求</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1、投标人的报价应包含为完成本招标文件提出的货物或服务等全部相关工作所有可能发生的费用，即投标总报价为“交钥匙”价。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2、对本文件未列明，而投标人认为必需的费用也需列入投标总报价。在合同实施时，采购人将不予支付中标单位没有列入的项目费用，并认为此项目的费用已包含在投标总报价中。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vMerge w:val="continue"/>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vMerge w:val="continue"/>
            <w:shd w:val="clear" w:color="auto" w:fill="auto"/>
            <w:vAlign w:val="center"/>
          </w:tcPr>
          <w:p>
            <w:pPr>
              <w:widowControl/>
              <w:jc w:val="left"/>
              <w:rPr>
                <w:rFonts w:ascii="仿宋_GB2312" w:hAnsi="宋体" w:eastAsia="仿宋_GB2312"/>
                <w:bCs/>
                <w:sz w:val="24"/>
              </w:rPr>
            </w:pP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3、投标人所投货物应报总价和项目各子系统的分项报价等，投标人应提供所投货物全部的详细清单及其价格。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售后服务和技术支持</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提供7×24电话、网络即时通讯软件或电子邮件服务，接到用户问题通知后做出明确响应和安排，提供远程或现场维护服务。一般系统故障应在2小时内响应并解决，远程服务无法解决的，需具有解决故障能力的工程师应在12小时内到达现场，并在4小时内解决相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培训</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按照采购人要求提供培训服务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付款方式</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按照湖北省财政厅相关要求执行。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保密</w:t>
            </w:r>
          </w:p>
        </w:tc>
        <w:tc>
          <w:tcPr>
            <w:tcW w:w="6095" w:type="dxa"/>
            <w:shd w:val="clear" w:color="auto" w:fill="auto"/>
            <w:vAlign w:val="center"/>
          </w:tcPr>
          <w:p>
            <w:pPr>
              <w:widowControl/>
              <w:jc w:val="left"/>
              <w:rPr>
                <w:rFonts w:ascii="仿宋_GB2312" w:hAnsi="宋体" w:eastAsia="仿宋_GB2312"/>
                <w:bCs/>
                <w:sz w:val="24"/>
                <w:lang w:val="zh-CN"/>
              </w:rPr>
            </w:pPr>
            <w:r>
              <w:rPr>
                <w:rFonts w:hint="eastAsia" w:ascii="仿宋_GB2312" w:hAnsi="宋体" w:eastAsia="仿宋_GB2312"/>
                <w:bCs/>
                <w:sz w:val="24"/>
                <w:lang w:val="zh-CN"/>
              </w:rPr>
              <w:t>未经采购人书面许可，中标人及其工作人员不得擅自对相关数据和信息进行复制、备份或留底。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17" w:type="dxa"/>
            <w:shd w:val="clear" w:color="auto" w:fill="auto"/>
            <w:vAlign w:val="center"/>
          </w:tcPr>
          <w:p>
            <w:pPr>
              <w:numPr>
                <w:ilvl w:val="0"/>
                <w:numId w:val="2"/>
              </w:numPr>
              <w:tabs>
                <w:tab w:val="left" w:pos="72"/>
                <w:tab w:val="left" w:pos="130"/>
              </w:tabs>
              <w:snapToGrid w:val="0"/>
              <w:spacing w:line="360" w:lineRule="auto"/>
              <w:jc w:val="center"/>
              <w:rPr>
                <w:rFonts w:asciiTheme="minorEastAsia" w:hAnsiTheme="minorEastAsia"/>
                <w:sz w:val="24"/>
              </w:rPr>
            </w:pPr>
          </w:p>
        </w:tc>
        <w:tc>
          <w:tcPr>
            <w:tcW w:w="1418"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rPr>
              <w:t>技术文档</w:t>
            </w:r>
          </w:p>
        </w:tc>
        <w:tc>
          <w:tcPr>
            <w:tcW w:w="6095" w:type="dxa"/>
            <w:shd w:val="clear" w:color="auto" w:fill="auto"/>
            <w:vAlign w:val="center"/>
          </w:tcPr>
          <w:p>
            <w:pPr>
              <w:widowControl/>
              <w:jc w:val="left"/>
              <w:rPr>
                <w:rFonts w:ascii="仿宋_GB2312" w:hAnsi="宋体" w:eastAsia="仿宋_GB2312"/>
                <w:bCs/>
                <w:sz w:val="24"/>
              </w:rPr>
            </w:pPr>
            <w:r>
              <w:rPr>
                <w:rFonts w:hint="eastAsia" w:ascii="仿宋_GB2312" w:hAnsi="宋体" w:eastAsia="仿宋_GB2312"/>
                <w:bCs/>
                <w:sz w:val="24"/>
                <w:lang w:val="zh-CN"/>
              </w:rPr>
              <w:t>中标人在系统验收后提供完整的软件安装、操作、使用、测试、控制和维护手册，以及针对升级开发部分的应用软件的源代码和功能模块设计、数据库设计、操作维护手册、测试报告、运维报告等资料文档。</w:t>
            </w:r>
          </w:p>
        </w:tc>
      </w:tr>
    </w:tbl>
    <w:p>
      <w:pPr>
        <w:rPr>
          <w:rFonts w:ascii="仿宋_GB2312" w:eastAsia="仿宋_GB2312"/>
          <w:sz w:val="32"/>
          <w:szCs w:val="32"/>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43A6A"/>
    <w:multiLevelType w:val="multilevel"/>
    <w:tmpl w:val="0E643A6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EA7C99"/>
    <w:multiLevelType w:val="multilevel"/>
    <w:tmpl w:val="2EEA7C99"/>
    <w:lvl w:ilvl="0" w:tentative="0">
      <w:start w:val="1"/>
      <w:numFmt w:val="decimal"/>
      <w:lvlText w:val="%1"/>
      <w:lvlJc w:val="center"/>
      <w:pPr>
        <w:ind w:left="420" w:hanging="420"/>
      </w:pPr>
      <w:rPr>
        <w:rFonts w:hint="eastAsia" w:asciiTheme="minorEastAsia" w:hAnsiTheme="minorEastAsia" w:eastAsiaTheme="minorEastAsia"/>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783ED7"/>
    <w:rsid w:val="00005B13"/>
    <w:rsid w:val="0003424C"/>
    <w:rsid w:val="00055B03"/>
    <w:rsid w:val="00073EB8"/>
    <w:rsid w:val="000B3E1C"/>
    <w:rsid w:val="000D32EB"/>
    <w:rsid w:val="0010501F"/>
    <w:rsid w:val="00144ECE"/>
    <w:rsid w:val="00147F56"/>
    <w:rsid w:val="00157EFB"/>
    <w:rsid w:val="00171F80"/>
    <w:rsid w:val="00195279"/>
    <w:rsid w:val="001B09E4"/>
    <w:rsid w:val="001B5EEE"/>
    <w:rsid w:val="001B77A9"/>
    <w:rsid w:val="001C603B"/>
    <w:rsid w:val="001E3FDF"/>
    <w:rsid w:val="001F3CAD"/>
    <w:rsid w:val="00211A3E"/>
    <w:rsid w:val="002528DC"/>
    <w:rsid w:val="002752C6"/>
    <w:rsid w:val="002A2011"/>
    <w:rsid w:val="002B30B0"/>
    <w:rsid w:val="0030138C"/>
    <w:rsid w:val="00325F06"/>
    <w:rsid w:val="00331875"/>
    <w:rsid w:val="00355FC0"/>
    <w:rsid w:val="00364FCB"/>
    <w:rsid w:val="003A4D80"/>
    <w:rsid w:val="003B5A7A"/>
    <w:rsid w:val="003C6D27"/>
    <w:rsid w:val="00440533"/>
    <w:rsid w:val="0045381F"/>
    <w:rsid w:val="004B17AD"/>
    <w:rsid w:val="00501C24"/>
    <w:rsid w:val="00511E0C"/>
    <w:rsid w:val="0055499F"/>
    <w:rsid w:val="005722BD"/>
    <w:rsid w:val="00593A1D"/>
    <w:rsid w:val="005A2466"/>
    <w:rsid w:val="005B4558"/>
    <w:rsid w:val="005C00F1"/>
    <w:rsid w:val="005D08C0"/>
    <w:rsid w:val="00625882"/>
    <w:rsid w:val="006714AC"/>
    <w:rsid w:val="006923DD"/>
    <w:rsid w:val="006A7F0A"/>
    <w:rsid w:val="006B2AAF"/>
    <w:rsid w:val="006C2A68"/>
    <w:rsid w:val="006D3E2C"/>
    <w:rsid w:val="006D7C72"/>
    <w:rsid w:val="006F6691"/>
    <w:rsid w:val="00717A12"/>
    <w:rsid w:val="00724171"/>
    <w:rsid w:val="00756CB0"/>
    <w:rsid w:val="00762148"/>
    <w:rsid w:val="007674C8"/>
    <w:rsid w:val="00783ED7"/>
    <w:rsid w:val="00790191"/>
    <w:rsid w:val="007A2D85"/>
    <w:rsid w:val="007A4919"/>
    <w:rsid w:val="007E7EE1"/>
    <w:rsid w:val="00815546"/>
    <w:rsid w:val="0084718C"/>
    <w:rsid w:val="00851DE8"/>
    <w:rsid w:val="008B65DB"/>
    <w:rsid w:val="008C1A40"/>
    <w:rsid w:val="008C41F5"/>
    <w:rsid w:val="00904514"/>
    <w:rsid w:val="0091065B"/>
    <w:rsid w:val="00912C40"/>
    <w:rsid w:val="009371C9"/>
    <w:rsid w:val="00943EC6"/>
    <w:rsid w:val="0097120C"/>
    <w:rsid w:val="00986787"/>
    <w:rsid w:val="009A286E"/>
    <w:rsid w:val="009A6743"/>
    <w:rsid w:val="009B1CB7"/>
    <w:rsid w:val="009C3E55"/>
    <w:rsid w:val="009F1127"/>
    <w:rsid w:val="00A327B7"/>
    <w:rsid w:val="00A9061F"/>
    <w:rsid w:val="00A94C3D"/>
    <w:rsid w:val="00AC50B9"/>
    <w:rsid w:val="00B30DFA"/>
    <w:rsid w:val="00BE4607"/>
    <w:rsid w:val="00BE4DB4"/>
    <w:rsid w:val="00C02B93"/>
    <w:rsid w:val="00C160DC"/>
    <w:rsid w:val="00C22DD6"/>
    <w:rsid w:val="00C42593"/>
    <w:rsid w:val="00C76565"/>
    <w:rsid w:val="00C8691A"/>
    <w:rsid w:val="00CD62D0"/>
    <w:rsid w:val="00D5086B"/>
    <w:rsid w:val="00D61D55"/>
    <w:rsid w:val="00D645D3"/>
    <w:rsid w:val="00D86C4A"/>
    <w:rsid w:val="00E30ACC"/>
    <w:rsid w:val="00EB7999"/>
    <w:rsid w:val="00EC3F6B"/>
    <w:rsid w:val="00F137F4"/>
    <w:rsid w:val="00F146EF"/>
    <w:rsid w:val="00F221B8"/>
    <w:rsid w:val="00F3757A"/>
    <w:rsid w:val="00F43E5F"/>
    <w:rsid w:val="00F6633D"/>
    <w:rsid w:val="00FB1E40"/>
    <w:rsid w:val="114C3FF6"/>
    <w:rsid w:val="13813941"/>
    <w:rsid w:val="31D76933"/>
    <w:rsid w:val="4D6278C5"/>
    <w:rsid w:val="557C2AAA"/>
    <w:rsid w:val="709F0EE6"/>
    <w:rsid w:val="71286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5"/>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annotation text"/>
    <w:basedOn w:val="1"/>
    <w:semiHidden/>
    <w:unhideWhenUsed/>
    <w:uiPriority w:val="99"/>
    <w:pPr>
      <w:jc w:val="left"/>
    </w:p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Char"/>
    <w:basedOn w:val="9"/>
    <w:link w:val="6"/>
    <w:uiPriority w:val="99"/>
    <w:rPr>
      <w:sz w:val="18"/>
      <w:szCs w:val="18"/>
    </w:rPr>
  </w:style>
  <w:style w:type="character" w:customStyle="1" w:styleId="13">
    <w:name w:val="页脚 Char"/>
    <w:basedOn w:val="9"/>
    <w:link w:val="5"/>
    <w:uiPriority w:val="99"/>
    <w:rPr>
      <w:sz w:val="18"/>
      <w:szCs w:val="18"/>
    </w:rPr>
  </w:style>
  <w:style w:type="character" w:customStyle="1" w:styleId="14">
    <w:name w:val="标题 1 Char"/>
    <w:basedOn w:val="9"/>
    <w:link w:val="2"/>
    <w:uiPriority w:val="9"/>
    <w:rPr>
      <w:rFonts w:asciiTheme="minorHAnsi" w:hAnsiTheme="minorHAnsi" w:eastAsiaTheme="minorEastAsia" w:cstheme="minorBidi"/>
      <w:b/>
      <w:bCs/>
      <w:kern w:val="44"/>
      <w:sz w:val="44"/>
      <w:szCs w:val="44"/>
    </w:rPr>
  </w:style>
  <w:style w:type="character" w:customStyle="1" w:styleId="15">
    <w:name w:val="标题 3 Char"/>
    <w:basedOn w:val="9"/>
    <w:link w:val="3"/>
    <w:uiPriority w:val="0"/>
    <w:rPr>
      <w:rFonts w:ascii="Calibri" w:hAnsi="Calibri"/>
      <w:b/>
      <w:bCs/>
      <w:kern w:val="2"/>
      <w:sz w:val="32"/>
      <w:szCs w:val="32"/>
    </w:rPr>
  </w:style>
  <w:style w:type="paragraph" w:customStyle="1" w:styleId="16">
    <w:name w:val="Revision"/>
    <w:hidden/>
    <w:semiHidden/>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C0FE8-1334-41D0-8BF9-97080A70482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2667</Words>
  <Characters>2697</Characters>
  <Lines>20</Lines>
  <Paragraphs>5</Paragraphs>
  <TotalTime>259</TotalTime>
  <ScaleCrop>false</ScaleCrop>
  <LinksUpToDate>false</LinksUpToDate>
  <CharactersWithSpaces>2704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2021-05-17T04:23:00Z</dcterms:created>
  <dc:creator>sky sod</dc:creator>
  <cp:lastModifiedBy>晚安</cp:lastModifiedBy>
  <cp:lastPrinted>2024-04-07T10:03:00Z</cp:lastPrinted>
  <dcterms:modified xsi:type="dcterms:W3CDTF">2024-07-02T01:48:54Z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498B45CEF7EE4AF4B026B69509CDB90E_13</vt:lpwstr>
  </property>
</Properties>
</file>