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宋体" w:hAnsi="宋体" w:eastAsia="方正小标宋_GBK"/>
          <w:color w:val="000000"/>
          <w:sz w:val="44"/>
          <w:szCs w:val="44"/>
        </w:rPr>
      </w:pPr>
      <w:r>
        <w:rPr>
          <w:rFonts w:hint="eastAsia" w:ascii="宋体" w:hAnsi="宋体" w:eastAsia="方正小标宋_GBK"/>
          <w:color w:val="000000"/>
          <w:sz w:val="44"/>
          <w:szCs w:val="44"/>
        </w:rPr>
        <w:t>湖北省传染病监测预警与应急指挥能力提升项目监理服务采购需求</w:t>
      </w:r>
    </w:p>
    <w:p>
      <w:pPr>
        <w:adjustRightInd w:val="0"/>
        <w:snapToGrid w:val="0"/>
        <w:spacing w:line="440" w:lineRule="exact"/>
        <w:ind w:left="360" w:hanging="360" w:hangingChars="150"/>
        <w:jc w:val="center"/>
        <w:rPr>
          <w:rFonts w:ascii="仿宋_GB2312" w:eastAsia="仿宋_GB2312"/>
          <w:color w:val="000000"/>
          <w:sz w:val="24"/>
          <w:szCs w:val="28"/>
        </w:rPr>
      </w:pPr>
    </w:p>
    <w:p>
      <w:pPr>
        <w:adjustRightInd w:val="0"/>
        <w:snapToGrid w:val="0"/>
        <w:spacing w:line="360" w:lineRule="auto"/>
        <w:ind w:firstLine="480" w:firstLineChars="200"/>
        <w:outlineLvl w:val="0"/>
        <w:rPr>
          <w:rFonts w:ascii="黑体" w:hAnsi="黑体" w:eastAsia="黑体"/>
          <w:bCs/>
          <w:color w:val="000000"/>
          <w:sz w:val="24"/>
          <w:szCs w:val="28"/>
        </w:rPr>
      </w:pPr>
      <w:r>
        <w:rPr>
          <w:rFonts w:hint="eastAsia" w:ascii="黑体" w:hAnsi="黑体" w:eastAsia="黑体"/>
          <w:bCs/>
          <w:color w:val="000000"/>
          <w:sz w:val="24"/>
          <w:szCs w:val="28"/>
        </w:rPr>
        <w:t>第一部分：供应商资格要求</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1.1应具备《政府采购法》第二十二条第一款规定的条件；</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1.2未被列入“信用中国”或“中国政府采购网”中的失信被执行人、重大税收违法案件当事人名单、政府采购严重违法失信行为记录名单；</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1.3具备</w:t>
      </w:r>
      <w:r>
        <w:rPr>
          <w:rFonts w:hint="eastAsia" w:ascii="仿宋_GB2312" w:hAnsi="Times New Roman" w:eastAsia="仿宋_GB2312"/>
          <w:color w:val="000000"/>
          <w:sz w:val="24"/>
          <w:szCs w:val="28"/>
          <w:lang w:val="en-US" w:eastAsia="zh-CN"/>
        </w:rPr>
        <w:t>信息系统工程监理服务标准贯标甲级证书</w:t>
      </w:r>
      <w:r>
        <w:rPr>
          <w:rFonts w:hint="eastAsia" w:ascii="仿宋_GB2312" w:hAnsi="Times New Roman" w:eastAsia="仿宋_GB2312"/>
          <w:color w:val="000000"/>
          <w:sz w:val="24"/>
          <w:szCs w:val="28"/>
        </w:rPr>
        <w:t>及合法有效的营业执照、税务登记证及相关证明；</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1.4本项目不接受联合体投标。</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1.5为湖北省传染病监测预警与应急指挥能力提升项目提供整体设计、规范编制或项目管理、工程审计及造价、测评等服务的，不得再参加本项目的招标采购活动。</w:t>
      </w:r>
    </w:p>
    <w:p>
      <w:pPr>
        <w:adjustRightInd w:val="0"/>
        <w:snapToGrid w:val="0"/>
        <w:spacing w:line="360" w:lineRule="auto"/>
        <w:ind w:firstLine="480" w:firstLineChars="200"/>
        <w:outlineLvl w:val="0"/>
        <w:rPr>
          <w:rFonts w:ascii="黑体" w:hAnsi="黑体" w:eastAsia="黑体"/>
          <w:bCs/>
          <w:color w:val="000000"/>
          <w:sz w:val="24"/>
          <w:szCs w:val="28"/>
        </w:rPr>
      </w:pPr>
      <w:r>
        <w:rPr>
          <w:rFonts w:hint="eastAsia" w:ascii="黑体" w:hAnsi="黑体" w:eastAsia="黑体"/>
          <w:bCs/>
          <w:color w:val="000000"/>
          <w:sz w:val="24"/>
          <w:szCs w:val="28"/>
        </w:rPr>
        <w:t>第二部分：采购内容</w:t>
      </w:r>
    </w:p>
    <w:p>
      <w:pPr>
        <w:adjustRightInd w:val="0"/>
        <w:snapToGrid w:val="0"/>
        <w:spacing w:line="360" w:lineRule="auto"/>
        <w:ind w:firstLine="480" w:firstLineChars="200"/>
        <w:jc w:val="left"/>
        <w:outlineLvl w:val="1"/>
        <w:rPr>
          <w:rFonts w:ascii="黑体" w:hAnsi="黑体" w:eastAsia="黑体"/>
          <w:color w:val="000000"/>
          <w:sz w:val="24"/>
          <w:szCs w:val="28"/>
        </w:rPr>
      </w:pPr>
      <w:r>
        <w:rPr>
          <w:rFonts w:hint="eastAsia" w:ascii="黑体" w:hAnsi="黑体" w:eastAsia="黑体"/>
          <w:color w:val="000000"/>
          <w:sz w:val="24"/>
          <w:szCs w:val="28"/>
        </w:rPr>
        <w:t>一、采购内容：</w:t>
      </w:r>
    </w:p>
    <w:tbl>
      <w:tblPr>
        <w:tblStyle w:val="17"/>
        <w:tblpPr w:leftFromText="180" w:rightFromText="180" w:vertAnchor="text" w:horzAnchor="margin" w:tblpXSpec="center" w:tblpY="37"/>
        <w:tblW w:w="9204" w:type="dxa"/>
        <w:jc w:val="center"/>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Layout w:type="autofit"/>
        <w:tblCellMar>
          <w:top w:w="0" w:type="dxa"/>
          <w:left w:w="108" w:type="dxa"/>
          <w:bottom w:w="0" w:type="dxa"/>
          <w:right w:w="108" w:type="dxa"/>
        </w:tblCellMar>
      </w:tblPr>
      <w:tblGrid>
        <w:gridCol w:w="1124"/>
        <w:gridCol w:w="5670"/>
        <w:gridCol w:w="1134"/>
        <w:gridCol w:w="1276"/>
      </w:tblGrid>
      <w:tr>
        <w:tblPrEx>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11" w:hRule="atLeast"/>
          <w:jc w:val="center"/>
        </w:trPr>
        <w:tc>
          <w:tcPr>
            <w:tcW w:w="1124"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序号</w:t>
            </w:r>
          </w:p>
        </w:tc>
        <w:tc>
          <w:tcPr>
            <w:tcW w:w="5670"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名称</w:t>
            </w:r>
          </w:p>
        </w:tc>
        <w:tc>
          <w:tcPr>
            <w:tcW w:w="1134"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数量</w:t>
            </w:r>
          </w:p>
        </w:tc>
        <w:tc>
          <w:tcPr>
            <w:tcW w:w="1276"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单位</w:t>
            </w:r>
          </w:p>
        </w:tc>
      </w:tr>
      <w:tr>
        <w:tblPrEx>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26" w:hRule="exact"/>
          <w:jc w:val="center"/>
        </w:trPr>
        <w:tc>
          <w:tcPr>
            <w:tcW w:w="1124" w:type="dxa"/>
            <w:shd w:val="clear" w:color="auto" w:fill="auto"/>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1</w:t>
            </w:r>
          </w:p>
        </w:tc>
        <w:tc>
          <w:tcPr>
            <w:tcW w:w="5670" w:type="dxa"/>
            <w:shd w:val="clear" w:color="auto" w:fill="auto"/>
            <w:vAlign w:val="center"/>
          </w:tcPr>
          <w:p>
            <w:pPr>
              <w:adjustRightInd w:val="0"/>
              <w:snapToGrid w:val="0"/>
              <w:jc w:val="left"/>
              <w:rPr>
                <w:rFonts w:ascii="仿宋_GB2312" w:eastAsia="仿宋_GB2312"/>
                <w:sz w:val="24"/>
                <w:szCs w:val="28"/>
              </w:rPr>
            </w:pPr>
            <w:r>
              <w:rPr>
                <w:rFonts w:hint="eastAsia" w:ascii="仿宋_GB2312" w:eastAsia="仿宋_GB2312"/>
                <w:sz w:val="24"/>
                <w:szCs w:val="28"/>
              </w:rPr>
              <w:t>湖北省传染病监测预警与应急指挥能力提升项目监理服务</w:t>
            </w:r>
          </w:p>
        </w:tc>
        <w:tc>
          <w:tcPr>
            <w:tcW w:w="1134" w:type="dxa"/>
            <w:shd w:val="clear" w:color="auto" w:fill="auto"/>
            <w:vAlign w:val="center"/>
          </w:tcPr>
          <w:p>
            <w:pPr>
              <w:adjustRightInd w:val="0"/>
              <w:snapToGrid w:val="0"/>
              <w:spacing w:line="360" w:lineRule="auto"/>
              <w:jc w:val="center"/>
              <w:rPr>
                <w:rFonts w:ascii="仿宋_GB2312" w:eastAsia="仿宋_GB2312"/>
                <w:sz w:val="24"/>
                <w:szCs w:val="28"/>
              </w:rPr>
            </w:pPr>
            <w:r>
              <w:rPr>
                <w:rFonts w:hint="eastAsia" w:ascii="仿宋_GB2312" w:eastAsia="仿宋_GB2312"/>
                <w:sz w:val="24"/>
                <w:szCs w:val="28"/>
              </w:rPr>
              <w:t>1</w:t>
            </w:r>
          </w:p>
        </w:tc>
        <w:tc>
          <w:tcPr>
            <w:tcW w:w="1276" w:type="dxa"/>
            <w:shd w:val="clear" w:color="auto" w:fill="auto"/>
            <w:vAlign w:val="center"/>
          </w:tcPr>
          <w:p>
            <w:pPr>
              <w:adjustRightInd w:val="0"/>
              <w:snapToGrid w:val="0"/>
              <w:spacing w:line="360" w:lineRule="auto"/>
              <w:jc w:val="center"/>
              <w:rPr>
                <w:rFonts w:ascii="仿宋_GB2312" w:eastAsia="仿宋_GB2312"/>
                <w:sz w:val="24"/>
                <w:szCs w:val="28"/>
              </w:rPr>
            </w:pPr>
            <w:r>
              <w:rPr>
                <w:rFonts w:hint="eastAsia" w:ascii="仿宋_GB2312" w:eastAsia="仿宋_GB2312"/>
                <w:sz w:val="24"/>
                <w:szCs w:val="28"/>
              </w:rPr>
              <w:t>项</w:t>
            </w:r>
          </w:p>
        </w:tc>
      </w:tr>
    </w:tbl>
    <w:p>
      <w:pPr>
        <w:adjustRightInd w:val="0"/>
        <w:snapToGrid w:val="0"/>
        <w:spacing w:beforeLines="100" w:line="360" w:lineRule="auto"/>
        <w:ind w:firstLine="480" w:firstLineChars="200"/>
        <w:jc w:val="left"/>
        <w:outlineLvl w:val="1"/>
        <w:rPr>
          <w:rFonts w:ascii="黑体" w:hAnsi="黑体" w:eastAsia="黑体"/>
          <w:color w:val="000000"/>
          <w:sz w:val="24"/>
          <w:szCs w:val="28"/>
          <w:highlight w:val="none"/>
        </w:rPr>
      </w:pPr>
      <w:r>
        <w:rPr>
          <w:rFonts w:hint="eastAsia" w:ascii="黑体" w:hAnsi="黑体" w:eastAsia="黑体"/>
          <w:color w:val="000000"/>
          <w:sz w:val="24"/>
          <w:szCs w:val="28"/>
          <w:highlight w:val="none"/>
        </w:rPr>
        <w:t>二、采购预算：</w:t>
      </w:r>
      <w:r>
        <w:rPr>
          <w:rFonts w:hint="eastAsia" w:ascii="仿宋_GB2312" w:hAnsi="Times New Roman" w:eastAsia="仿宋_GB2312"/>
          <w:color w:val="000000"/>
          <w:sz w:val="24"/>
          <w:szCs w:val="28"/>
          <w:highlight w:val="none"/>
          <w:lang w:val="en-US" w:eastAsia="zh-CN"/>
        </w:rPr>
        <w:t>46</w:t>
      </w:r>
      <w:r>
        <w:rPr>
          <w:rFonts w:hint="eastAsia" w:ascii="仿宋_GB2312" w:hAnsi="Times New Roman" w:eastAsia="仿宋_GB2312"/>
          <w:color w:val="000000"/>
          <w:sz w:val="24"/>
          <w:szCs w:val="28"/>
          <w:highlight w:val="none"/>
        </w:rPr>
        <w:t>万元。</w:t>
      </w:r>
      <w:r>
        <w:rPr>
          <w:rFonts w:hint="eastAsia" w:ascii="黑体" w:hAnsi="黑体" w:eastAsia="黑体"/>
          <w:color w:val="000000"/>
          <w:sz w:val="24"/>
          <w:szCs w:val="28"/>
          <w:highlight w:val="none"/>
        </w:rPr>
        <w:t xml:space="preserve"> </w:t>
      </w:r>
    </w:p>
    <w:p>
      <w:pPr>
        <w:adjustRightInd w:val="0"/>
        <w:snapToGrid w:val="0"/>
        <w:spacing w:line="360" w:lineRule="auto"/>
        <w:ind w:firstLine="480" w:firstLineChars="200"/>
        <w:jc w:val="left"/>
        <w:outlineLvl w:val="1"/>
        <w:rPr>
          <w:rFonts w:ascii="黑体" w:hAnsi="黑体" w:eastAsia="黑体"/>
          <w:color w:val="000000"/>
          <w:sz w:val="24"/>
          <w:szCs w:val="28"/>
        </w:rPr>
      </w:pPr>
      <w:r>
        <w:rPr>
          <w:rFonts w:hint="eastAsia" w:ascii="黑体" w:hAnsi="黑体" w:eastAsia="黑体"/>
          <w:color w:val="000000"/>
          <w:sz w:val="24"/>
          <w:szCs w:val="28"/>
        </w:rPr>
        <w:t>三、交付时间、地点</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3.1交付时间：</w:t>
      </w:r>
      <w:r>
        <w:rPr>
          <w:rFonts w:hint="eastAsia" w:ascii="仿宋_GB2312" w:hAnsi="Times New Roman" w:eastAsia="仿宋_GB2312"/>
          <w:color w:val="000000"/>
          <w:sz w:val="24"/>
          <w:szCs w:val="28"/>
          <w:lang w:val="en-US" w:eastAsia="zh-CN"/>
        </w:rPr>
        <w:t>从合同签订之日起至项目验收合格止</w:t>
      </w:r>
      <w:r>
        <w:rPr>
          <w:rFonts w:hint="eastAsia" w:ascii="仿宋" w:hAnsi="仿宋" w:eastAsia="仿宋"/>
          <w:sz w:val="24"/>
          <w:szCs w:val="20"/>
        </w:rPr>
        <w:t>。</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3.2交付地点：采购人指定地点。</w:t>
      </w:r>
    </w:p>
    <w:p>
      <w:pPr>
        <w:adjustRightInd w:val="0"/>
        <w:snapToGrid w:val="0"/>
        <w:spacing w:line="360" w:lineRule="auto"/>
        <w:ind w:firstLine="480" w:firstLineChars="200"/>
        <w:jc w:val="left"/>
        <w:outlineLvl w:val="1"/>
        <w:rPr>
          <w:rFonts w:ascii="黑体" w:hAnsi="黑体" w:eastAsia="黑体"/>
          <w:color w:val="000000"/>
          <w:sz w:val="24"/>
          <w:szCs w:val="28"/>
        </w:rPr>
      </w:pPr>
      <w:r>
        <w:rPr>
          <w:rFonts w:hint="eastAsia" w:ascii="黑体" w:hAnsi="黑体" w:eastAsia="黑体"/>
          <w:color w:val="000000"/>
          <w:sz w:val="24"/>
          <w:szCs w:val="28"/>
        </w:rPr>
        <w:t>四、采购内容及要求</w:t>
      </w:r>
    </w:p>
    <w:p>
      <w:pPr>
        <w:adjustRightInd w:val="0"/>
        <w:snapToGrid w:val="0"/>
        <w:spacing w:line="360" w:lineRule="auto"/>
        <w:ind w:firstLine="480" w:firstLineChars="200"/>
        <w:outlineLvl w:val="2"/>
        <w:rPr>
          <w:rFonts w:ascii="仿宋_GB2312" w:hAnsi="Times New Roman" w:eastAsia="仿宋_GB2312"/>
          <w:b/>
          <w:bCs/>
          <w:color w:val="000000"/>
          <w:sz w:val="24"/>
          <w:szCs w:val="28"/>
        </w:rPr>
      </w:pPr>
      <w:r>
        <w:rPr>
          <w:rFonts w:hint="eastAsia" w:ascii="仿宋_GB2312" w:hAnsi="Times New Roman" w:eastAsia="仿宋_GB2312"/>
          <w:b/>
          <w:bCs/>
          <w:color w:val="000000"/>
          <w:sz w:val="24"/>
          <w:szCs w:val="28"/>
        </w:rPr>
        <w:t>4.1</w:t>
      </w:r>
      <w:bookmarkStart w:id="0" w:name="_Toc11103586"/>
      <w:r>
        <w:rPr>
          <w:rFonts w:hint="eastAsia" w:ascii="仿宋_GB2312" w:hAnsi="Times New Roman" w:eastAsia="仿宋_GB2312"/>
          <w:b/>
          <w:bCs/>
          <w:color w:val="000000"/>
          <w:sz w:val="24"/>
          <w:szCs w:val="28"/>
        </w:rPr>
        <w:t>项目</w:t>
      </w:r>
      <w:bookmarkEnd w:id="0"/>
      <w:bookmarkStart w:id="1" w:name="_Toc338065594"/>
      <w:bookmarkStart w:id="2" w:name="_Toc339378680"/>
      <w:r>
        <w:rPr>
          <w:rFonts w:hint="eastAsia" w:ascii="仿宋_GB2312" w:hAnsi="Times New Roman" w:eastAsia="仿宋_GB2312"/>
          <w:b/>
          <w:bCs/>
          <w:color w:val="000000"/>
          <w:sz w:val="24"/>
          <w:szCs w:val="28"/>
        </w:rPr>
        <w:t>概况</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w:t>
      </w:r>
      <w:r>
        <w:rPr>
          <w:rFonts w:ascii="仿宋_GB2312" w:hAnsi="Times New Roman" w:eastAsia="仿宋_GB2312"/>
          <w:b/>
          <w:color w:val="000000"/>
          <w:sz w:val="24"/>
          <w:szCs w:val="28"/>
        </w:rPr>
        <w:t>.1.1</w:t>
      </w:r>
      <w:r>
        <w:rPr>
          <w:rFonts w:hint="eastAsia" w:ascii="仿宋_GB2312" w:hAnsi="Times New Roman" w:eastAsia="仿宋_GB2312"/>
          <w:b/>
          <w:color w:val="000000"/>
          <w:sz w:val="24"/>
          <w:szCs w:val="28"/>
        </w:rPr>
        <w:t>项目简述</w:t>
      </w:r>
    </w:p>
    <w:p>
      <w:pPr>
        <w:adjustRightInd w:val="0"/>
        <w:snapToGrid w:val="0"/>
        <w:spacing w:line="360" w:lineRule="auto"/>
        <w:ind w:firstLine="480" w:firstLineChars="200"/>
        <w:rPr>
          <w:rFonts w:ascii="仿宋_GB2312" w:eastAsia="仿宋_GB2312"/>
          <w:sz w:val="24"/>
          <w:szCs w:val="28"/>
        </w:rPr>
      </w:pPr>
      <w:r>
        <w:rPr>
          <w:rFonts w:hint="eastAsia" w:ascii="仿宋_GB2312" w:eastAsia="仿宋_GB2312"/>
          <w:sz w:val="24"/>
          <w:szCs w:val="28"/>
        </w:rPr>
        <w:t>本项目为中央转移支付省统筹区域传染病监测预警与应急指挥能力提升项目，项目涉及我省的建设目标和建设内容为：省统筹完成全省二级及以上医疗机构数据自动采集、标化和上传，建立国家-省-市-县数据采集、传输和治理通路，保障数据质量；建设湖北省传染病病原监测信息系统；市县区级疾控机构完成国产密码应用、网络安全设备升级、视频会议设备升级；提升湖北省传染病监测预警的数据分析与决策应用。</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w:t>
      </w:r>
      <w:r>
        <w:rPr>
          <w:rFonts w:ascii="仿宋_GB2312" w:hAnsi="Times New Roman" w:eastAsia="仿宋_GB2312"/>
          <w:b/>
          <w:color w:val="000000"/>
          <w:sz w:val="24"/>
          <w:szCs w:val="28"/>
        </w:rPr>
        <w:t>.1.2建设内容和规模</w:t>
      </w:r>
      <w:r>
        <w:rPr>
          <w:rFonts w:hint="eastAsia" w:ascii="仿宋_GB2312" w:hAnsi="Times New Roman" w:eastAsia="仿宋_GB2312"/>
          <w:b/>
          <w:color w:val="000000"/>
          <w:sz w:val="24"/>
          <w:szCs w:val="28"/>
        </w:rPr>
        <w:t xml:space="preserve"> </w:t>
      </w:r>
    </w:p>
    <w:p>
      <w:pPr>
        <w:adjustRightInd w:val="0"/>
        <w:snapToGrid w:val="0"/>
        <w:spacing w:line="360" w:lineRule="auto"/>
        <w:ind w:firstLine="480" w:firstLineChars="200"/>
        <w:rPr>
          <w:rFonts w:hint="eastAsia" w:ascii="仿宋_GB2312" w:hAnsi="Times New Roman" w:eastAsia="仿宋_GB2312"/>
          <w:color w:val="000000"/>
          <w:sz w:val="24"/>
          <w:szCs w:val="28"/>
          <w:highlight w:val="none"/>
        </w:rPr>
      </w:pPr>
      <w:r>
        <w:rPr>
          <w:rFonts w:hint="eastAsia" w:ascii="仿宋_GB2312" w:hAnsi="Times New Roman" w:eastAsia="仿宋_GB2312"/>
          <w:color w:val="000000"/>
          <w:sz w:val="24"/>
          <w:szCs w:val="28"/>
          <w:highlight w:val="none"/>
        </w:rPr>
        <w:t>本项目数据采集和通路建设范围覆盖全省412家二级及以上公立医疗机构（含部分传染病报卡量较多的民营医疗机构和基层医疗卫生机构），包括省本级医疗机构和市州县级医疗机构。通过数据采集工具，联通医疗机构镜像数据库，建立实时的数据采集机制，并通过数据治理转化为标准数据，上传国家平台和省健康医疗大数据中心，同时将回流的数据实时传输至医疗机构，实现智能比对、排查、核实、修订、上报闭环。</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highlight w:val="none"/>
        </w:rPr>
        <w:t>覆盖全省各级疾控机构、二级以上公立医疗机构，实现病原检测结果数据100%接入；逐步接入采供血机构、高等院校、科研院所、第三方实验室等机构病原检测结果数据，接入率不低于50%。</w:t>
      </w:r>
      <w:r>
        <w:rPr>
          <w:rFonts w:hint="eastAsia" w:ascii="仿宋_GB2312" w:hAnsi="Times New Roman" w:eastAsia="仿宋_GB2312"/>
          <w:color w:val="000000"/>
          <w:sz w:val="24"/>
          <w:szCs w:val="28"/>
        </w:rPr>
        <w:t>实现病原检测全流程信息化管理、建设统一、标准化的病原信息管理数据资源体系。</w:t>
      </w:r>
    </w:p>
    <w:p>
      <w:pPr>
        <w:adjustRightInd w:val="0"/>
        <w:snapToGrid w:val="0"/>
        <w:spacing w:line="360" w:lineRule="auto"/>
        <w:ind w:firstLine="480" w:firstLineChars="200"/>
        <w:rPr>
          <w:rFonts w:hint="eastAsia"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1、采集工具</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根据国家、湖北省传染病监测预警数据采集需求，完成数据采集工具的开发、部署；基于采集工具实现412家二级以上医疗机构数据采集，实现同构化、标准化数据治理，完成医疗机构源头数据向国家平台、省健康医疗大数据中心的数据上传。</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2</w:t>
      </w:r>
      <w:r>
        <w:rPr>
          <w:rFonts w:hint="eastAsia" w:ascii="仿宋_GB2312" w:hAnsi="Times New Roman" w:eastAsia="仿宋_GB2312"/>
          <w:color w:val="000000"/>
          <w:sz w:val="24"/>
          <w:szCs w:val="28"/>
          <w:lang w:eastAsia="zh-CN"/>
        </w:rPr>
        <w:t>、</w:t>
      </w:r>
      <w:r>
        <w:rPr>
          <w:rFonts w:hint="eastAsia" w:ascii="仿宋_GB2312" w:hAnsi="Times New Roman" w:eastAsia="仿宋_GB2312"/>
          <w:color w:val="000000"/>
          <w:sz w:val="24"/>
          <w:szCs w:val="28"/>
        </w:rPr>
        <w:t>省级多模态系统</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完成省级多模态系统开发、部署；基于省级多模态系统完成全省412家医疗机构源头数据汇聚、映射、转化、清洗、质控、术语标化，归集到省健康医疗大数据中心，形成数据结构统一、术语标准统一的省级标准数据库。</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省级多模态系统利用大数据技术，对医疗机构上传的数据进行治理、质控、分析核查，对发现有质量问题数据、传染病监测待核实感知异常数据，回流下发到医疗机构。</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数据上传至省健康医疗大数据中心，通过大数据中心已有数据通路完成与相关委办局、第三方机构的数据对接，实现横向的互联互通，优化完善与医保、公安、民政等相关部门传染病监测预警相关数据交换共享。</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3</w:t>
      </w:r>
      <w:r>
        <w:rPr>
          <w:rFonts w:hint="eastAsia" w:ascii="仿宋_GB2312" w:hAnsi="Times New Roman" w:eastAsia="仿宋_GB2312"/>
          <w:color w:val="000000"/>
          <w:sz w:val="24"/>
          <w:szCs w:val="28"/>
          <w:lang w:eastAsia="zh-CN"/>
        </w:rPr>
        <w:t>、</w:t>
      </w:r>
      <w:r>
        <w:rPr>
          <w:rFonts w:hint="eastAsia" w:ascii="仿宋_GB2312" w:hAnsi="Times New Roman" w:eastAsia="仿宋_GB2312"/>
          <w:color w:val="000000"/>
          <w:sz w:val="24"/>
          <w:szCs w:val="28"/>
        </w:rPr>
        <w:t>传染病病原监测信息系统</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建设样本采集、转运、接收、初筛、确证、复核等功能及全流程数据质控，实现病原检测全流程信息化管理。</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建设统一、标准化的病原信息管理数据资源体系，规范病原检测数据标准和数据质量。业务层面对临床标本、环境样本、生物样本、各类病原体等进行标准化管理；管理层面对各类机构、用户、权限实行标准化管理。</w:t>
      </w:r>
    </w:p>
    <w:p>
      <w:pPr>
        <w:adjustRightInd w:val="0"/>
        <w:snapToGrid w:val="0"/>
        <w:spacing w:line="360" w:lineRule="auto"/>
        <w:ind w:firstLine="480" w:firstLineChars="200"/>
        <w:rPr>
          <w:rFonts w:hint="eastAsia" w:ascii="仿宋_GB2312" w:hAnsi="Times New Roman" w:eastAsia="仿宋_GB2312"/>
          <w:color w:val="000000"/>
          <w:sz w:val="24"/>
          <w:szCs w:val="28"/>
          <w:lang w:eastAsia="zh-CN"/>
        </w:rPr>
      </w:pPr>
      <w:r>
        <w:rPr>
          <w:rFonts w:hint="eastAsia" w:ascii="仿宋_GB2312" w:hAnsi="Times New Roman" w:eastAsia="仿宋_GB2312"/>
          <w:color w:val="000000"/>
          <w:sz w:val="24"/>
          <w:szCs w:val="28"/>
        </w:rPr>
        <w:t>利用大数据可视化的分析手段，实现对病原检测结果的态势分析和核心指标（如病例采样率、各类病原检出率、病原耐药情况、采样及时率等）的动态统计分析，对疫情或事件的追踪分析、阳性病例时空分布分析、重点病原体的监测预警等功能，建设移动端应用，帮助行政管理部门第一时间掌握病原监测及预警信息</w:t>
      </w:r>
      <w:r>
        <w:rPr>
          <w:rFonts w:hint="eastAsia" w:ascii="仿宋_GB2312" w:hAnsi="Times New Roman" w:eastAsia="仿宋_GB2312"/>
          <w:color w:val="000000"/>
          <w:sz w:val="24"/>
          <w:szCs w:val="28"/>
          <w:lang w:eastAsia="zh-CN"/>
        </w:rPr>
        <w:t>。</w:t>
      </w:r>
    </w:p>
    <w:p>
      <w:pPr>
        <w:adjustRightInd w:val="0"/>
        <w:snapToGrid w:val="0"/>
        <w:spacing w:line="360" w:lineRule="auto"/>
        <w:ind w:firstLine="480" w:firstLineChars="200"/>
        <w:rPr>
          <w:rFonts w:hint="eastAsia"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4、医疗机构本地数据治理服务</w:t>
      </w:r>
    </w:p>
    <w:p>
      <w:pPr>
        <w:adjustRightInd w:val="0"/>
        <w:snapToGrid w:val="0"/>
        <w:spacing w:line="360" w:lineRule="auto"/>
        <w:ind w:firstLine="480" w:firstLineChars="200"/>
        <w:rPr>
          <w:rFonts w:hint="eastAsia"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为保障数据采集多源同质，避免各家医疗机构自行数据转标工作存在的认知理解不同导致数据质量不均，同时为降低医疗机构工作负担，我省统筹为412家医疗机构提供数据同构化、数据标准化服务，完成数据标准化转换工作，为国家平台、省平台提供高质量数据支撑。各医疗机构完成实时镜像库建设，将采集所需生产库原始库表通过技术手段同步到镜像库中，由项目承建商完成医疗机构库表、诊断编码、药品编码、检验检查项目等表、字段的标准转换工作，由医疗机构编码、字典转换为国家标准编码、字典，上传（提供给）国家前置软件和省级多模态系统。</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5</w:t>
      </w:r>
      <w:r>
        <w:rPr>
          <w:rFonts w:hint="eastAsia" w:ascii="仿宋_GB2312" w:hAnsi="Times New Roman" w:eastAsia="仿宋_GB2312"/>
          <w:color w:val="000000"/>
          <w:sz w:val="24"/>
          <w:szCs w:val="28"/>
          <w:lang w:val="en-US" w:eastAsia="zh-CN"/>
        </w:rPr>
        <w:t>、</w:t>
      </w:r>
      <w:r>
        <w:rPr>
          <w:rFonts w:hint="default" w:ascii="仿宋_GB2312" w:hAnsi="Times New Roman" w:eastAsia="仿宋_GB2312"/>
          <w:color w:val="000000"/>
          <w:sz w:val="24"/>
          <w:szCs w:val="28"/>
          <w:lang w:val="en-US" w:eastAsia="zh-CN"/>
        </w:rPr>
        <w:t>数据分析与决策能力提升</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数据分析与决策能力提升基于治理后的全量标化数据，利用大数据技术和人工智能技术，</w:t>
      </w:r>
      <w:r>
        <w:rPr>
          <w:rFonts w:hint="eastAsia" w:ascii="仿宋_GB2312" w:hAnsi="Times New Roman" w:eastAsia="仿宋_GB2312"/>
          <w:color w:val="000000"/>
          <w:sz w:val="24"/>
          <w:szCs w:val="28"/>
          <w:lang w:val="en-US" w:eastAsia="zh-CN"/>
        </w:rPr>
        <w:t>进一步优化模型算法和预警预测规则，提升</w:t>
      </w:r>
      <w:r>
        <w:rPr>
          <w:rFonts w:hint="default" w:ascii="仿宋_GB2312" w:hAnsi="Times New Roman" w:eastAsia="仿宋_GB2312"/>
          <w:color w:val="000000"/>
          <w:sz w:val="24"/>
          <w:szCs w:val="28"/>
          <w:lang w:val="en-US" w:eastAsia="zh-CN"/>
        </w:rPr>
        <w:t>自动收集、整理、融合分析多维数据</w:t>
      </w:r>
      <w:r>
        <w:rPr>
          <w:rFonts w:hint="eastAsia" w:ascii="仿宋_GB2312" w:hAnsi="Times New Roman" w:eastAsia="仿宋_GB2312"/>
          <w:color w:val="000000"/>
          <w:sz w:val="24"/>
          <w:szCs w:val="28"/>
          <w:lang w:val="en-US" w:eastAsia="zh-CN"/>
        </w:rPr>
        <w:t>能力</w:t>
      </w:r>
      <w:r>
        <w:rPr>
          <w:rFonts w:hint="default" w:ascii="仿宋_GB2312" w:hAnsi="Times New Roman" w:eastAsia="仿宋_GB2312"/>
          <w:color w:val="000000"/>
          <w:sz w:val="24"/>
          <w:szCs w:val="28"/>
          <w:lang w:val="en-US" w:eastAsia="zh-CN"/>
        </w:rPr>
        <w:t>，提升传染病监测预警</w:t>
      </w:r>
      <w:r>
        <w:rPr>
          <w:rFonts w:hint="eastAsia" w:ascii="仿宋_GB2312" w:hAnsi="Times New Roman" w:eastAsia="仿宋_GB2312"/>
          <w:color w:val="000000"/>
          <w:sz w:val="24"/>
          <w:szCs w:val="28"/>
          <w:lang w:val="en-US" w:eastAsia="zh-CN"/>
        </w:rPr>
        <w:t>预测智慧化预警多点触发和</w:t>
      </w:r>
      <w:r>
        <w:rPr>
          <w:rFonts w:hint="default" w:ascii="仿宋_GB2312" w:hAnsi="Times New Roman" w:eastAsia="仿宋_GB2312"/>
          <w:color w:val="000000"/>
          <w:sz w:val="24"/>
          <w:szCs w:val="28"/>
          <w:lang w:val="en-US" w:eastAsia="zh-CN"/>
        </w:rPr>
        <w:t>综合态势感知</w:t>
      </w:r>
      <w:r>
        <w:rPr>
          <w:rFonts w:hint="eastAsia" w:ascii="仿宋_GB2312" w:hAnsi="Times New Roman" w:eastAsia="仿宋_GB2312"/>
          <w:color w:val="000000"/>
          <w:sz w:val="24"/>
          <w:szCs w:val="28"/>
          <w:lang w:val="en-US" w:eastAsia="zh-CN"/>
        </w:rPr>
        <w:t>及数据呈现</w:t>
      </w:r>
      <w:r>
        <w:rPr>
          <w:rFonts w:hint="default" w:ascii="仿宋_GB2312" w:hAnsi="Times New Roman" w:eastAsia="仿宋_GB2312"/>
          <w:color w:val="000000"/>
          <w:sz w:val="24"/>
          <w:szCs w:val="28"/>
          <w:lang w:val="en-US" w:eastAsia="zh-CN"/>
        </w:rPr>
        <w:t>能力。实现对医院数据源端数据采集链路全面监控。</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通过数据中心，</w:t>
      </w:r>
      <w:r>
        <w:rPr>
          <w:rFonts w:hint="eastAsia" w:ascii="仿宋_GB2312" w:hAnsi="Times New Roman" w:eastAsia="仿宋_GB2312"/>
          <w:color w:val="000000"/>
          <w:sz w:val="24"/>
          <w:szCs w:val="28"/>
          <w:lang w:val="en-US" w:eastAsia="zh-CN"/>
        </w:rPr>
        <w:t>建立数据质控体系，</w:t>
      </w:r>
      <w:r>
        <w:rPr>
          <w:rFonts w:hint="default" w:ascii="仿宋_GB2312" w:hAnsi="Times New Roman" w:eastAsia="仿宋_GB2312"/>
          <w:color w:val="000000"/>
          <w:sz w:val="24"/>
          <w:szCs w:val="28"/>
          <w:lang w:val="en-US" w:eastAsia="zh-CN"/>
        </w:rPr>
        <w:t>可实时监控每个医院数据源端数据采集情况，传输和存储情况，采集链路的作业情况，采集异常信息情况，数据源端系统运行情况等</w:t>
      </w:r>
      <w:r>
        <w:rPr>
          <w:rFonts w:hint="eastAsia" w:ascii="仿宋_GB2312" w:hAnsi="Times New Roman" w:eastAsia="仿宋_GB2312"/>
          <w:color w:val="000000"/>
          <w:sz w:val="24"/>
          <w:szCs w:val="28"/>
          <w:lang w:val="en-US" w:eastAsia="zh-CN"/>
        </w:rPr>
        <w:t>，并于</w:t>
      </w:r>
      <w:r>
        <w:rPr>
          <w:rFonts w:hint="default" w:ascii="仿宋_GB2312" w:hAnsi="Times New Roman" w:eastAsia="仿宋_GB2312"/>
          <w:color w:val="000000"/>
          <w:sz w:val="24"/>
          <w:szCs w:val="28"/>
          <w:lang w:val="en-US" w:eastAsia="zh-CN"/>
        </w:rPr>
        <w:t>24</w:t>
      </w:r>
      <w:r>
        <w:rPr>
          <w:rFonts w:hint="eastAsia" w:ascii="仿宋_GB2312" w:hAnsi="Times New Roman" w:eastAsia="仿宋_GB2312"/>
          <w:color w:val="000000"/>
          <w:sz w:val="24"/>
          <w:szCs w:val="28"/>
          <w:lang w:val="en-US" w:eastAsia="zh-CN"/>
        </w:rPr>
        <w:t>小时内解决异常值。</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通过智能驾驶舱，以大数据可视化方式，</w:t>
      </w:r>
      <w:r>
        <w:rPr>
          <w:rFonts w:hint="eastAsia" w:ascii="仿宋_GB2312" w:hAnsi="Times New Roman" w:eastAsia="仿宋_GB2312"/>
          <w:color w:val="000000"/>
          <w:sz w:val="24"/>
          <w:szCs w:val="28"/>
          <w:lang w:val="en-US" w:eastAsia="zh-CN"/>
        </w:rPr>
        <w:t>对省统筹平台主题视图进行优化、迭代和更新，并能根据疫情防控需要，随时定制和自动生成</w:t>
      </w:r>
      <w:r>
        <w:rPr>
          <w:rFonts w:hint="default" w:ascii="仿宋_GB2312" w:hAnsi="Times New Roman" w:eastAsia="仿宋_GB2312"/>
          <w:color w:val="000000"/>
          <w:sz w:val="24"/>
          <w:szCs w:val="28"/>
          <w:lang w:val="en-US" w:eastAsia="zh-CN"/>
        </w:rPr>
        <w:t>各类主题视图，对病例</w:t>
      </w:r>
      <w:r>
        <w:rPr>
          <w:rFonts w:hint="eastAsia" w:ascii="仿宋_GB2312" w:hAnsi="Times New Roman" w:eastAsia="仿宋_GB2312"/>
          <w:color w:val="000000"/>
          <w:sz w:val="24"/>
          <w:szCs w:val="28"/>
          <w:lang w:val="en-US" w:eastAsia="zh-CN"/>
        </w:rPr>
        <w:t>分布、疫情趋势、传播途径及</w:t>
      </w:r>
      <w:r>
        <w:rPr>
          <w:rFonts w:hint="default" w:ascii="仿宋_GB2312" w:hAnsi="Times New Roman" w:eastAsia="仿宋_GB2312"/>
          <w:color w:val="000000"/>
          <w:sz w:val="24"/>
          <w:szCs w:val="28"/>
          <w:lang w:val="en-US" w:eastAsia="zh-CN"/>
        </w:rPr>
        <w:t>检查检验、</w:t>
      </w:r>
      <w:r>
        <w:rPr>
          <w:rFonts w:hint="eastAsia" w:ascii="仿宋_GB2312" w:hAnsi="Times New Roman" w:eastAsia="仿宋_GB2312"/>
          <w:color w:val="000000"/>
          <w:sz w:val="24"/>
          <w:szCs w:val="28"/>
          <w:lang w:val="en-US" w:eastAsia="zh-CN"/>
        </w:rPr>
        <w:t>临床症状、</w:t>
      </w:r>
      <w:r>
        <w:rPr>
          <w:rFonts w:hint="default" w:ascii="仿宋_GB2312" w:hAnsi="Times New Roman" w:eastAsia="仿宋_GB2312"/>
          <w:color w:val="000000"/>
          <w:sz w:val="24"/>
          <w:szCs w:val="28"/>
          <w:lang w:val="en-US" w:eastAsia="zh-CN"/>
        </w:rPr>
        <w:t>诊断、流调、治疗、随访、转归等业务数据进行全方位、多角度的</w:t>
      </w:r>
      <w:r>
        <w:rPr>
          <w:rFonts w:hint="eastAsia" w:ascii="仿宋_GB2312" w:hAnsi="Times New Roman" w:eastAsia="仿宋_GB2312"/>
          <w:color w:val="000000"/>
          <w:sz w:val="24"/>
          <w:szCs w:val="28"/>
          <w:lang w:val="en-US" w:eastAsia="zh-CN"/>
        </w:rPr>
        <w:t>综合比对</w:t>
      </w:r>
      <w:r>
        <w:rPr>
          <w:rFonts w:hint="default" w:ascii="仿宋_GB2312" w:hAnsi="Times New Roman" w:eastAsia="仿宋_GB2312"/>
          <w:color w:val="000000"/>
          <w:sz w:val="24"/>
          <w:szCs w:val="28"/>
          <w:lang w:val="en-US" w:eastAsia="zh-CN"/>
        </w:rPr>
        <w:t>分析和研判；对重点地区、重点人群、重点环节实时监测，及时识别异常情况，为决策者提供科学依据。</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建立数据智能比对模型，进行数据智能对比，分析，过滤，回流下发到医院机构端，提醒医疗机构端进行核实排查。改善数据采集质量，增强对异常数据感知能力，提升传染病预警</w:t>
      </w:r>
      <w:r>
        <w:rPr>
          <w:rFonts w:hint="eastAsia" w:ascii="仿宋_GB2312" w:hAnsi="Times New Roman" w:eastAsia="仿宋_GB2312"/>
          <w:color w:val="000000"/>
          <w:sz w:val="24"/>
          <w:szCs w:val="28"/>
          <w:lang w:val="en-US" w:eastAsia="zh-CN"/>
        </w:rPr>
        <w:t>与触发</w:t>
      </w:r>
      <w:r>
        <w:rPr>
          <w:rFonts w:hint="default" w:ascii="仿宋_GB2312" w:hAnsi="Times New Roman" w:eastAsia="仿宋_GB2312"/>
          <w:color w:val="000000"/>
          <w:sz w:val="24"/>
          <w:szCs w:val="28"/>
          <w:lang w:val="en-US" w:eastAsia="zh-CN"/>
        </w:rPr>
        <w:t>能力。</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建立预警</w:t>
      </w:r>
      <w:r>
        <w:rPr>
          <w:rFonts w:hint="eastAsia" w:ascii="仿宋_GB2312" w:hAnsi="Times New Roman" w:eastAsia="仿宋_GB2312"/>
          <w:color w:val="000000"/>
          <w:sz w:val="24"/>
          <w:szCs w:val="28"/>
          <w:lang w:val="en-US" w:eastAsia="zh-CN"/>
        </w:rPr>
        <w:t>预测</w:t>
      </w:r>
      <w:r>
        <w:rPr>
          <w:rFonts w:hint="default" w:ascii="仿宋_GB2312" w:hAnsi="Times New Roman" w:eastAsia="仿宋_GB2312"/>
          <w:color w:val="000000"/>
          <w:sz w:val="24"/>
          <w:szCs w:val="28"/>
          <w:lang w:val="en-US" w:eastAsia="zh-CN"/>
        </w:rPr>
        <w:t>模型管理中心，通过构建传染病预警</w:t>
      </w:r>
      <w:r>
        <w:rPr>
          <w:rFonts w:hint="eastAsia" w:ascii="仿宋_GB2312" w:hAnsi="Times New Roman" w:eastAsia="仿宋_GB2312"/>
          <w:color w:val="000000"/>
          <w:sz w:val="24"/>
          <w:szCs w:val="28"/>
          <w:lang w:val="en-US" w:eastAsia="zh-CN"/>
        </w:rPr>
        <w:t>预测</w:t>
      </w:r>
      <w:r>
        <w:rPr>
          <w:rFonts w:hint="default" w:ascii="仿宋_GB2312" w:hAnsi="Times New Roman" w:eastAsia="仿宋_GB2312"/>
          <w:color w:val="000000"/>
          <w:sz w:val="24"/>
          <w:szCs w:val="28"/>
          <w:lang w:val="en-US" w:eastAsia="zh-CN"/>
        </w:rPr>
        <w:t>模型，实现对传染病监测预警</w:t>
      </w:r>
      <w:r>
        <w:rPr>
          <w:rFonts w:hint="eastAsia" w:ascii="仿宋_GB2312" w:hAnsi="Times New Roman" w:eastAsia="仿宋_GB2312"/>
          <w:color w:val="000000"/>
          <w:sz w:val="24"/>
          <w:szCs w:val="28"/>
          <w:lang w:val="en-US" w:eastAsia="zh-CN"/>
        </w:rPr>
        <w:t>预测</w:t>
      </w:r>
      <w:r>
        <w:rPr>
          <w:rFonts w:hint="default" w:ascii="仿宋_GB2312" w:hAnsi="Times New Roman" w:eastAsia="仿宋_GB2312"/>
          <w:color w:val="000000"/>
          <w:sz w:val="24"/>
          <w:szCs w:val="28"/>
          <w:lang w:val="en-US" w:eastAsia="zh-CN"/>
        </w:rPr>
        <w:t>规则统一管理</w:t>
      </w:r>
      <w:r>
        <w:rPr>
          <w:rFonts w:hint="eastAsia" w:ascii="仿宋_GB2312" w:hAnsi="Times New Roman" w:eastAsia="仿宋_GB2312"/>
          <w:color w:val="000000"/>
          <w:sz w:val="24"/>
          <w:szCs w:val="28"/>
          <w:lang w:val="en-US" w:eastAsia="zh-CN"/>
        </w:rPr>
        <w:t>、更新和升级</w:t>
      </w:r>
      <w:r>
        <w:rPr>
          <w:rFonts w:hint="default" w:ascii="仿宋_GB2312" w:hAnsi="Times New Roman" w:eastAsia="仿宋_GB2312"/>
          <w:color w:val="000000"/>
          <w:sz w:val="24"/>
          <w:szCs w:val="28"/>
          <w:lang w:val="en-US" w:eastAsia="zh-CN"/>
        </w:rPr>
        <w:t>，对预警信息进行排查核验，发布和响应，支持实时调整预警级别和响应措施，确保疫情防控工作的针对性。</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通过对传染病监测数据的统计分析，实现对传染病，症候群病例的发病趋势，转归情况，地区分布情况，医院分布情况以及特征分布情况进行实时统计，并通过自定义可视化图表进行展示。</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6</w:t>
      </w:r>
      <w:r>
        <w:rPr>
          <w:rFonts w:hint="eastAsia" w:ascii="仿宋_GB2312" w:hAnsi="Times New Roman" w:eastAsia="仿宋_GB2312"/>
          <w:color w:val="000000"/>
          <w:sz w:val="24"/>
          <w:szCs w:val="28"/>
          <w:lang w:val="en-US" w:eastAsia="zh-CN"/>
        </w:rPr>
        <w:t>、</w:t>
      </w:r>
      <w:r>
        <w:rPr>
          <w:rFonts w:hint="default" w:ascii="仿宋_GB2312" w:hAnsi="Times New Roman" w:eastAsia="仿宋_GB2312"/>
          <w:color w:val="000000"/>
          <w:sz w:val="24"/>
          <w:szCs w:val="28"/>
          <w:lang w:val="en-US" w:eastAsia="zh-CN"/>
        </w:rPr>
        <w:t>建设期</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根据国家相关部署要求，结合湖北省工作实际情况，整体建设周期计划</w:t>
      </w:r>
      <w:r>
        <w:rPr>
          <w:rFonts w:hint="eastAsia" w:ascii="仿宋_GB2312" w:hAnsi="Times New Roman" w:eastAsia="仿宋_GB2312"/>
          <w:color w:val="000000"/>
          <w:sz w:val="24"/>
          <w:szCs w:val="28"/>
          <w:lang w:val="en-US" w:eastAsia="zh-CN"/>
        </w:rPr>
        <w:t>6</w:t>
      </w:r>
      <w:r>
        <w:rPr>
          <w:rFonts w:hint="default" w:ascii="仿宋_GB2312" w:hAnsi="Times New Roman" w:eastAsia="仿宋_GB2312"/>
          <w:color w:val="000000"/>
          <w:sz w:val="24"/>
          <w:szCs w:val="28"/>
          <w:lang w:val="en-US" w:eastAsia="zh-CN"/>
        </w:rPr>
        <w:t>个月（实际情况如有变化，将实时调整项目建设周期计划）</w:t>
      </w:r>
    </w:p>
    <w:p>
      <w:pPr>
        <w:adjustRightInd w:val="0"/>
        <w:snapToGrid w:val="0"/>
        <w:spacing w:line="360" w:lineRule="auto"/>
        <w:ind w:firstLine="480" w:firstLineChars="200"/>
        <w:rPr>
          <w:rFonts w:hint="default" w:ascii="仿宋_GB2312" w:hAnsi="Times New Roman" w:eastAsia="仿宋_GB2312"/>
          <w:color w:val="000000"/>
          <w:sz w:val="24"/>
          <w:szCs w:val="28"/>
          <w:highlight w:val="none"/>
          <w:lang w:val="en-US" w:eastAsia="zh-CN"/>
        </w:rPr>
      </w:pPr>
      <w:r>
        <w:rPr>
          <w:rFonts w:hint="default" w:ascii="Calibri" w:hAnsi="Calibri" w:eastAsia="仿宋_GB2312" w:cs="Calibri"/>
          <w:color w:val="000000"/>
          <w:sz w:val="24"/>
          <w:szCs w:val="28"/>
          <w:highlight w:val="none"/>
          <w:lang w:val="en-US" w:eastAsia="zh-CN"/>
        </w:rPr>
        <w:t>①</w:t>
      </w:r>
      <w:r>
        <w:rPr>
          <w:rFonts w:hint="default" w:ascii="仿宋_GB2312" w:hAnsi="Times New Roman" w:eastAsia="仿宋_GB2312"/>
          <w:color w:val="000000"/>
          <w:sz w:val="24"/>
          <w:szCs w:val="28"/>
          <w:highlight w:val="none"/>
          <w:lang w:val="en-US" w:eastAsia="zh-CN"/>
        </w:rPr>
        <w:t>2024年</w:t>
      </w:r>
      <w:r>
        <w:rPr>
          <w:rFonts w:hint="eastAsia" w:ascii="仿宋_GB2312" w:hAnsi="Times New Roman" w:eastAsia="仿宋_GB2312"/>
          <w:color w:val="000000"/>
          <w:sz w:val="24"/>
          <w:szCs w:val="28"/>
          <w:highlight w:val="none"/>
          <w:lang w:val="en-US" w:eastAsia="zh-CN"/>
        </w:rPr>
        <w:t>7</w:t>
      </w:r>
      <w:r>
        <w:rPr>
          <w:rFonts w:hint="default" w:ascii="仿宋_GB2312" w:hAnsi="Times New Roman" w:eastAsia="仿宋_GB2312"/>
          <w:color w:val="000000"/>
          <w:sz w:val="24"/>
          <w:szCs w:val="28"/>
          <w:highlight w:val="none"/>
          <w:lang w:val="en-US" w:eastAsia="zh-CN"/>
        </w:rPr>
        <w:t>月底前，完成本项目招标工作。</w:t>
      </w:r>
    </w:p>
    <w:p>
      <w:pPr>
        <w:adjustRightInd w:val="0"/>
        <w:snapToGrid w:val="0"/>
        <w:spacing w:line="360" w:lineRule="auto"/>
        <w:ind w:firstLine="480" w:firstLineChars="200"/>
        <w:rPr>
          <w:rFonts w:hint="default" w:ascii="仿宋_GB2312" w:hAnsi="Times New Roman" w:eastAsia="仿宋_GB2312"/>
          <w:color w:val="000000"/>
          <w:sz w:val="24"/>
          <w:szCs w:val="28"/>
          <w:highlight w:val="none"/>
          <w:lang w:val="en-US" w:eastAsia="zh-CN"/>
        </w:rPr>
      </w:pPr>
      <w:r>
        <w:rPr>
          <w:rFonts w:hint="default" w:ascii="Calibri" w:hAnsi="Calibri" w:eastAsia="仿宋_GB2312" w:cs="Calibri"/>
          <w:color w:val="000000"/>
          <w:sz w:val="24"/>
          <w:szCs w:val="28"/>
          <w:highlight w:val="none"/>
          <w:lang w:val="en-US" w:eastAsia="zh-CN"/>
        </w:rPr>
        <w:t>②</w:t>
      </w:r>
      <w:r>
        <w:rPr>
          <w:rFonts w:hint="default" w:ascii="仿宋_GB2312" w:hAnsi="Times New Roman" w:eastAsia="仿宋_GB2312"/>
          <w:color w:val="000000"/>
          <w:sz w:val="24"/>
          <w:szCs w:val="28"/>
          <w:highlight w:val="none"/>
          <w:lang w:val="en-US" w:eastAsia="zh-CN"/>
        </w:rPr>
        <w:t>2024年</w:t>
      </w:r>
      <w:r>
        <w:rPr>
          <w:rFonts w:hint="eastAsia" w:ascii="仿宋_GB2312" w:hAnsi="Times New Roman" w:eastAsia="仿宋_GB2312"/>
          <w:color w:val="000000"/>
          <w:sz w:val="24"/>
          <w:szCs w:val="28"/>
          <w:highlight w:val="none"/>
          <w:lang w:val="en-US" w:eastAsia="zh-CN"/>
        </w:rPr>
        <w:t>7</w:t>
      </w:r>
      <w:r>
        <w:rPr>
          <w:rFonts w:hint="default" w:ascii="仿宋_GB2312" w:hAnsi="Times New Roman" w:eastAsia="仿宋_GB2312"/>
          <w:color w:val="000000"/>
          <w:sz w:val="24"/>
          <w:szCs w:val="28"/>
          <w:highlight w:val="none"/>
          <w:lang w:val="en-US" w:eastAsia="zh-CN"/>
        </w:rPr>
        <w:t>月底前，完成湖北省数据采集内容制定；完成数据采集工具；完成省级多模态系统开发；完成病原检测数据采集、数据查询、数据管理模块开发，实现病原检测全流程信息化管理；完成数据分析与决策能力提升。</w:t>
      </w:r>
    </w:p>
    <w:p>
      <w:pPr>
        <w:adjustRightInd w:val="0"/>
        <w:snapToGrid w:val="0"/>
        <w:spacing w:line="360" w:lineRule="auto"/>
        <w:ind w:firstLine="480" w:firstLineChars="200"/>
        <w:rPr>
          <w:rFonts w:hint="default" w:ascii="仿宋_GB2312" w:hAnsi="Times New Roman" w:eastAsia="仿宋_GB2312"/>
          <w:color w:val="000000"/>
          <w:sz w:val="24"/>
          <w:szCs w:val="28"/>
          <w:highlight w:val="none"/>
          <w:lang w:val="en-US" w:eastAsia="zh-CN"/>
        </w:rPr>
      </w:pPr>
      <w:r>
        <w:rPr>
          <w:rFonts w:hint="default" w:ascii="Calibri" w:hAnsi="Calibri" w:eastAsia="仿宋_GB2312" w:cs="Calibri"/>
          <w:color w:val="000000"/>
          <w:sz w:val="24"/>
          <w:szCs w:val="28"/>
          <w:highlight w:val="none"/>
          <w:lang w:val="en-US" w:eastAsia="zh-CN"/>
        </w:rPr>
        <w:t>③</w:t>
      </w:r>
      <w:r>
        <w:rPr>
          <w:rFonts w:hint="default" w:ascii="仿宋_GB2312" w:hAnsi="Times New Roman" w:eastAsia="仿宋_GB2312"/>
          <w:color w:val="000000"/>
          <w:sz w:val="24"/>
          <w:szCs w:val="28"/>
          <w:highlight w:val="none"/>
          <w:lang w:val="en-US" w:eastAsia="zh-CN"/>
        </w:rPr>
        <w:t>2024年7月底前，完成7家试点医疗机构的采集工具部署、纵向链路联通联调、数据采集、数据标化试点工作。要求各市州县完成医疗机构信息化基础建设工作（主要包括前置机、实时镜像库等），省健康医疗大数据中心与跨部门数据横向互通；完成传染病病原监测信息系统监测预警、统计分析、移动端等模块开发，实现对核心指标的动态统计分析，对疫情或事件的追踪分析、阳性病例时空分布分析、重点病原体的监测预警等功能；与3家疾控机构实现病原检测数据对接联调测试工作。</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Calibri" w:hAnsi="Calibri" w:eastAsia="微软雅黑" w:cs="Calibri"/>
          <w:color w:val="000000"/>
          <w:sz w:val="24"/>
          <w:szCs w:val="28"/>
          <w:highlight w:val="none"/>
          <w:lang w:val="en-US" w:eastAsia="zh-CN"/>
        </w:rPr>
        <w:t>④</w:t>
      </w:r>
      <w:r>
        <w:rPr>
          <w:rFonts w:hint="default" w:ascii="仿宋_GB2312" w:hAnsi="Times New Roman" w:eastAsia="仿宋_GB2312"/>
          <w:color w:val="000000"/>
          <w:sz w:val="24"/>
          <w:szCs w:val="28"/>
          <w:highlight w:val="none"/>
          <w:lang w:val="en-US" w:eastAsia="zh-CN"/>
        </w:rPr>
        <w:t>2024年10月底前，完成省本级15家医疗机构采集工具部署、数据采集、数据标化和监测预警核实排查数据回流治理工作；全省其他390家医疗机构培训、</w:t>
      </w:r>
      <w:r>
        <w:rPr>
          <w:rFonts w:hint="default" w:ascii="仿宋_GB2312" w:hAnsi="Times New Roman" w:eastAsia="仿宋_GB2312"/>
          <w:color w:val="000000"/>
          <w:sz w:val="24"/>
          <w:szCs w:val="28"/>
          <w:lang w:val="en-US" w:eastAsia="zh-CN"/>
        </w:rPr>
        <w:t>数据采集、数据标化和监测预警核实排查数据回流治理工作；指导、考核各地工作的实施与项目验收工作；与全省103家疾控机构、412家医疗机构实现病原检测数据对接联调测试工作。</w:t>
      </w:r>
    </w:p>
    <w:p>
      <w:pPr>
        <w:adjustRightInd w:val="0"/>
        <w:snapToGrid w:val="0"/>
        <w:spacing w:line="360" w:lineRule="auto"/>
        <w:ind w:firstLine="480" w:firstLineChars="200"/>
        <w:outlineLvl w:val="2"/>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4.2服务内容</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湖北省传染病监测预警与应急指挥能力提升项目建设时间紧、工作任务繁重、复杂程度高，投标人应严格遵照“四控制、三管理、一协调”即：质量控制、进度控制、投资控制、变更控制，合同管理、信息管理、安全管理，工程的组织协调等要求，依据湖北省传染病监测预警与应急指挥能力提升项目具体实施方案，采用先进、科学、合理的适合本项目特点的项目管理技巧和手段，为项目建设提供全过程监理及相关技术咨询服务，对项目建设的启动、产品采购、软件开发、集成、测试、部署实施、验收、培训、保修、审计等各个阶段进行全方位的管理、控制和协调，充分维护采购人的利益，并协调采购人和承建方的关系，最大限度的控制和化解项目建设中出现的问题和风险，从而保证项目“按期、保质、高效、节约”的完成。</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4.2.1监理服务范围</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要求投标人承担整个项目实施全过程的质量、进度、投资、变更及安全监控、合同与信息管理等，同时承担项目组织协调的责任和义务。</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本项目要求投标人承担的项目监理服务范围包括但不限于：</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w:t>
      </w:r>
      <w:r>
        <w:rPr>
          <w:rFonts w:ascii="仿宋_GB2312" w:hAnsi="Times New Roman" w:eastAsia="仿宋_GB2312"/>
          <w:color w:val="000000"/>
          <w:sz w:val="24"/>
          <w:szCs w:val="28"/>
        </w:rPr>
        <w:t>1</w:t>
      </w:r>
      <w:r>
        <w:rPr>
          <w:rFonts w:hint="eastAsia" w:ascii="仿宋_GB2312" w:hAnsi="Times New Roman" w:eastAsia="仿宋_GB2312"/>
          <w:color w:val="000000"/>
          <w:sz w:val="24"/>
          <w:szCs w:val="28"/>
        </w:rPr>
        <w:t>）理解项目建设需求，并协助采购人和承建单位进行项目工程详细设计；</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w:t>
      </w:r>
      <w:r>
        <w:rPr>
          <w:rFonts w:ascii="仿宋_GB2312" w:hAnsi="Times New Roman" w:eastAsia="仿宋_GB2312"/>
          <w:color w:val="000000"/>
          <w:sz w:val="24"/>
          <w:szCs w:val="28"/>
        </w:rPr>
        <w:t>2</w:t>
      </w:r>
      <w:r>
        <w:rPr>
          <w:rFonts w:hint="eastAsia" w:ascii="仿宋_GB2312" w:hAnsi="Times New Roman" w:eastAsia="仿宋_GB2312"/>
          <w:color w:val="000000"/>
          <w:sz w:val="24"/>
          <w:szCs w:val="28"/>
        </w:rPr>
        <w:t>）为本项目工程组织单位和采购人提供咨询支持；</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w:t>
      </w:r>
      <w:r>
        <w:rPr>
          <w:rFonts w:ascii="仿宋_GB2312" w:hAnsi="Times New Roman" w:eastAsia="仿宋_GB2312"/>
          <w:color w:val="000000"/>
          <w:sz w:val="24"/>
          <w:szCs w:val="28"/>
        </w:rPr>
        <w:t>3</w:t>
      </w:r>
      <w:r>
        <w:rPr>
          <w:rFonts w:hint="eastAsia" w:ascii="仿宋_GB2312" w:hAnsi="Times New Roman" w:eastAsia="仿宋_GB2312"/>
          <w:color w:val="000000"/>
          <w:sz w:val="24"/>
          <w:szCs w:val="28"/>
        </w:rPr>
        <w:t>）对项目的设备和软件产品采购、应用软件开发与部署实施、硬软件及网络系统集成等工作进行监理</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w:t>
      </w:r>
      <w:r>
        <w:rPr>
          <w:rFonts w:ascii="仿宋_GB2312" w:hAnsi="Times New Roman" w:eastAsia="仿宋_GB2312"/>
          <w:color w:val="000000"/>
          <w:sz w:val="24"/>
          <w:szCs w:val="28"/>
        </w:rPr>
        <w:t>4</w:t>
      </w:r>
      <w:r>
        <w:rPr>
          <w:rFonts w:hint="eastAsia" w:ascii="仿宋_GB2312" w:hAnsi="Times New Roman" w:eastAsia="仿宋_GB2312"/>
          <w:color w:val="000000"/>
          <w:sz w:val="24"/>
          <w:szCs w:val="28"/>
        </w:rPr>
        <w:t>）对承建商收集整理的文件、系统实施与人员培训进行实地的跟踪监理；</w:t>
      </w:r>
    </w:p>
    <w:p>
      <w:pPr>
        <w:adjustRightInd w:val="0"/>
        <w:snapToGrid w:val="0"/>
        <w:spacing w:line="360" w:lineRule="auto"/>
        <w:ind w:firstLine="480" w:firstLineChars="200"/>
        <w:rPr>
          <w:rFonts w:ascii="仿宋_GB2312" w:hAnsi="Times New Roman" w:eastAsia="仿宋_GB2312"/>
          <w:color w:val="000000"/>
          <w:sz w:val="24"/>
          <w:szCs w:val="28"/>
          <w:highlight w:val="yellow"/>
        </w:rPr>
      </w:pPr>
      <w:r>
        <w:rPr>
          <w:rFonts w:hint="eastAsia" w:ascii="仿宋_GB2312" w:hAnsi="Times New Roman" w:eastAsia="仿宋_GB2312"/>
          <w:color w:val="000000"/>
          <w:sz w:val="24"/>
          <w:szCs w:val="28"/>
        </w:rPr>
        <w:t>（</w:t>
      </w:r>
      <w:r>
        <w:rPr>
          <w:rFonts w:ascii="仿宋_GB2312" w:hAnsi="Times New Roman" w:eastAsia="仿宋_GB2312"/>
          <w:color w:val="000000"/>
          <w:sz w:val="24"/>
          <w:szCs w:val="28"/>
        </w:rPr>
        <w:t>5</w:t>
      </w:r>
      <w:r>
        <w:rPr>
          <w:rFonts w:hint="eastAsia" w:ascii="仿宋_GB2312" w:hAnsi="Times New Roman" w:eastAsia="仿宋_GB2312"/>
          <w:color w:val="000000"/>
          <w:sz w:val="24"/>
          <w:szCs w:val="28"/>
        </w:rPr>
        <w:t>）测试与试运行；</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w:t>
      </w:r>
      <w:r>
        <w:rPr>
          <w:rFonts w:ascii="仿宋_GB2312" w:hAnsi="Times New Roman" w:eastAsia="仿宋_GB2312"/>
          <w:color w:val="000000"/>
          <w:sz w:val="24"/>
          <w:szCs w:val="28"/>
        </w:rPr>
        <w:t>6</w:t>
      </w:r>
      <w:r>
        <w:rPr>
          <w:rFonts w:hint="eastAsia" w:ascii="仿宋_GB2312" w:hAnsi="Times New Roman" w:eastAsia="仿宋_GB2312"/>
          <w:color w:val="000000"/>
          <w:sz w:val="24"/>
          <w:szCs w:val="28"/>
        </w:rPr>
        <w:t>）验收、移交及培训；</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w:t>
      </w:r>
      <w:r>
        <w:rPr>
          <w:rFonts w:ascii="仿宋_GB2312" w:hAnsi="Times New Roman" w:eastAsia="仿宋_GB2312"/>
          <w:color w:val="000000"/>
          <w:sz w:val="24"/>
          <w:szCs w:val="28"/>
        </w:rPr>
        <w:t>7</w:t>
      </w:r>
      <w:r>
        <w:rPr>
          <w:rFonts w:hint="eastAsia" w:ascii="仿宋_GB2312" w:hAnsi="Times New Roman" w:eastAsia="仿宋_GB2312"/>
          <w:color w:val="000000"/>
          <w:sz w:val="24"/>
          <w:szCs w:val="28"/>
        </w:rPr>
        <w:t>）质保监督。</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4.2.2监理服务周期</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自合同签订日起至所监理的项目全部实施完毕并通过主合同最终验收为止，具体以项目进度为准。</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4.2.3监理服务依据</w:t>
      </w:r>
    </w:p>
    <w:tbl>
      <w:tblPr>
        <w:tblStyle w:val="17"/>
        <w:tblW w:w="931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29"/>
        <w:gridCol w:w="5229"/>
        <w:gridCol w:w="326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5" w:hRule="atLeast"/>
          <w:tblHeader/>
          <w:jc w:val="center"/>
        </w:trPr>
        <w:tc>
          <w:tcPr>
            <w:tcW w:w="829" w:type="dxa"/>
            <w:shd w:val="clear" w:color="AEAAAA" w:fill="E7E6E6"/>
            <w:noWrap/>
            <w:vAlign w:val="center"/>
          </w:tcPr>
          <w:p>
            <w:pPr>
              <w:adjustRightInd w:val="0"/>
              <w:snapToGrid w:val="0"/>
              <w:ind w:left="-69" w:leftChars="-33" w:right="-63" w:rightChars="-30"/>
              <w:jc w:val="center"/>
              <w:rPr>
                <w:rFonts w:ascii="仿宋_GB2312" w:hAnsi="宋体" w:eastAsia="仿宋_GB2312" w:cs="宋体"/>
                <w:b/>
                <w:bCs/>
                <w:color w:val="0C0C0C"/>
                <w:sz w:val="24"/>
                <w:szCs w:val="24"/>
              </w:rPr>
            </w:pPr>
            <w:r>
              <w:rPr>
                <w:rFonts w:hint="eastAsia" w:ascii="仿宋_GB2312" w:hAnsi="宋体" w:eastAsia="仿宋_GB2312" w:cs="宋体"/>
                <w:b/>
                <w:bCs/>
                <w:color w:val="0C0C0C"/>
                <w:sz w:val="24"/>
                <w:szCs w:val="24"/>
              </w:rPr>
              <w:t>序号</w:t>
            </w:r>
          </w:p>
        </w:tc>
        <w:tc>
          <w:tcPr>
            <w:tcW w:w="5229" w:type="dxa"/>
            <w:shd w:val="clear" w:color="AEAAAA" w:fill="E7E6E6"/>
            <w:noWrap/>
            <w:vAlign w:val="center"/>
          </w:tcPr>
          <w:p>
            <w:pPr>
              <w:adjustRightInd w:val="0"/>
              <w:snapToGrid w:val="0"/>
              <w:ind w:left="-69" w:leftChars="-33" w:right="-63" w:rightChars="-30"/>
              <w:jc w:val="center"/>
              <w:rPr>
                <w:rFonts w:ascii="仿宋_GB2312" w:hAnsi="宋体" w:eastAsia="仿宋_GB2312" w:cs="宋体"/>
                <w:b/>
                <w:bCs/>
                <w:color w:val="0C0C0C"/>
                <w:sz w:val="24"/>
                <w:szCs w:val="24"/>
              </w:rPr>
            </w:pPr>
            <w:r>
              <w:rPr>
                <w:rFonts w:hint="eastAsia" w:ascii="仿宋_GB2312" w:hAnsi="宋体" w:eastAsia="仿宋_GB2312" w:cs="宋体"/>
                <w:b/>
                <w:bCs/>
                <w:color w:val="0C0C0C"/>
                <w:sz w:val="24"/>
                <w:szCs w:val="24"/>
              </w:rPr>
              <w:t>名 称</w:t>
            </w:r>
          </w:p>
        </w:tc>
        <w:tc>
          <w:tcPr>
            <w:tcW w:w="3261" w:type="dxa"/>
            <w:shd w:val="clear" w:color="AEAAAA" w:fill="E7E6E6"/>
            <w:noWrap/>
            <w:vAlign w:val="center"/>
          </w:tcPr>
          <w:p>
            <w:pPr>
              <w:adjustRightInd w:val="0"/>
              <w:snapToGrid w:val="0"/>
              <w:ind w:left="-69" w:leftChars="-33" w:right="-63" w:rightChars="-30"/>
              <w:jc w:val="center"/>
              <w:rPr>
                <w:rFonts w:ascii="仿宋_GB2312" w:hAnsi="宋体" w:eastAsia="仿宋_GB2312" w:cs="宋体"/>
                <w:b/>
                <w:bCs/>
                <w:color w:val="0C0C0C"/>
                <w:sz w:val="24"/>
                <w:szCs w:val="24"/>
              </w:rPr>
            </w:pPr>
            <w:r>
              <w:rPr>
                <w:rFonts w:hint="eastAsia" w:ascii="仿宋_GB2312" w:hAnsi="宋体" w:eastAsia="仿宋_GB2312" w:cs="宋体"/>
                <w:b/>
                <w:bCs/>
                <w:color w:val="0C0C0C"/>
                <w:sz w:val="24"/>
                <w:szCs w:val="24"/>
              </w:rPr>
              <w:t>标号或文号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319" w:type="dxa"/>
            <w:gridSpan w:val="3"/>
            <w:shd w:val="clear" w:color="auto" w:fill="auto"/>
            <w:noWrap/>
            <w:vAlign w:val="center"/>
          </w:tcPr>
          <w:p>
            <w:pPr>
              <w:adjustRightInd w:val="0"/>
              <w:snapToGrid w:val="0"/>
              <w:ind w:left="-65" w:leftChars="-31" w:right="-65" w:rightChars="-31"/>
              <w:jc w:val="left"/>
              <w:rPr>
                <w:rFonts w:ascii="仿宋_GB2312" w:eastAsia="仿宋_GB2312"/>
                <w:b/>
                <w:sz w:val="24"/>
                <w:szCs w:val="24"/>
              </w:rPr>
            </w:pPr>
            <w:r>
              <w:rPr>
                <w:rFonts w:hint="eastAsia" w:ascii="仿宋_GB2312" w:eastAsia="仿宋_GB2312"/>
                <w:b/>
                <w:sz w:val="24"/>
                <w:szCs w:val="24"/>
              </w:rPr>
              <w:t>（一）</w:t>
            </w:r>
            <w:bookmarkStart w:id="3" w:name="_Toc50289150"/>
            <w:bookmarkStart w:id="4" w:name="_Toc56516845"/>
            <w:r>
              <w:rPr>
                <w:rFonts w:hint="eastAsia" w:ascii="仿宋_GB2312" w:eastAsia="仿宋_GB2312"/>
                <w:b/>
                <w:sz w:val="24"/>
                <w:szCs w:val="24"/>
              </w:rPr>
              <w:t>国家行业相关规划和政策性文件</w:t>
            </w:r>
            <w:bookmarkEnd w:id="3"/>
            <w:bookmarkEnd w:id="4"/>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eastAsia="仿宋_GB2312"/>
                <w:sz w:val="24"/>
                <w:szCs w:val="24"/>
              </w:rPr>
              <w:t>《国务院办公厅关于推动疾病预防控制事业高质量发展的指导意见》</w:t>
            </w:r>
          </w:p>
        </w:tc>
        <w:tc>
          <w:tcPr>
            <w:tcW w:w="3261" w:type="dxa"/>
            <w:shd w:val="clear" w:color="auto" w:fill="auto"/>
            <w:noWrap/>
            <w:vAlign w:val="center"/>
          </w:tcPr>
          <w:p>
            <w:pPr>
              <w:adjustRightInd w:val="0"/>
              <w:snapToGrid w:val="0"/>
              <w:ind w:left="-65" w:leftChars="-31" w:right="-65" w:rightChars="-31"/>
              <w:jc w:val="both"/>
              <w:rPr>
                <w:rFonts w:ascii="仿宋_GB2312" w:hAnsi="宋体" w:eastAsia="仿宋_GB2312" w:cs="宋体"/>
                <w:sz w:val="24"/>
                <w:szCs w:val="24"/>
              </w:rPr>
            </w:pPr>
            <w:r>
              <w:rPr>
                <w:rFonts w:hint="eastAsia" w:ascii="仿宋_GB2312" w:eastAsia="仿宋_GB2312"/>
                <w:sz w:val="24"/>
                <w:szCs w:val="24"/>
              </w:rPr>
              <w:t>国办发〔2023〕46号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国家疾控局综合司关于印发《加快建设完善省统筹区域传染病监测预警与应急指挥信息平台实施方案》的通知</w:t>
            </w:r>
          </w:p>
        </w:tc>
        <w:tc>
          <w:tcPr>
            <w:tcW w:w="3261" w:type="dxa"/>
            <w:shd w:val="clear" w:color="auto" w:fill="auto"/>
            <w:noWrap/>
            <w:vAlign w:val="center"/>
          </w:tcPr>
          <w:p>
            <w:pPr>
              <w:adjustRightInd w:val="0"/>
              <w:snapToGrid w:val="0"/>
              <w:ind w:left="-65" w:leftChars="-31" w:right="-65" w:rightChars="-31"/>
              <w:jc w:val="both"/>
              <w:rPr>
                <w:rFonts w:ascii="仿宋_GB2312" w:hAnsi="宋体" w:eastAsia="仿宋_GB2312" w:cs="宋体"/>
                <w:sz w:val="24"/>
                <w:szCs w:val="24"/>
              </w:rPr>
            </w:pPr>
            <w:r>
              <w:rPr>
                <w:rFonts w:hint="eastAsia" w:ascii="仿宋" w:hAnsi="仿宋" w:eastAsia="仿宋" w:cs="仿宋"/>
                <w:sz w:val="24"/>
                <w:szCs w:val="28"/>
              </w:rPr>
              <w:t>国疾控综规财函［2023〕18号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国家疾控局综合司关于印发《监测预警与应急指挥能力提升项目工作任务清单》的函</w:t>
            </w:r>
          </w:p>
        </w:tc>
        <w:tc>
          <w:tcPr>
            <w:tcW w:w="3261" w:type="dxa"/>
            <w:shd w:val="clear" w:color="auto" w:fill="auto"/>
            <w:noWrap/>
            <w:vAlign w:val="center"/>
          </w:tcPr>
          <w:p>
            <w:pPr>
              <w:adjustRightInd w:val="0"/>
              <w:snapToGrid w:val="0"/>
              <w:ind w:left="-65" w:leftChars="-31" w:right="-65" w:rightChars="-31"/>
              <w:jc w:val="both"/>
              <w:rPr>
                <w:rFonts w:ascii="仿宋_GB2312" w:hAnsi="宋体" w:eastAsia="仿宋_GB2312" w:cs="宋体"/>
                <w:sz w:val="24"/>
                <w:szCs w:val="24"/>
              </w:rPr>
            </w:pPr>
            <w:r>
              <w:rPr>
                <w:rFonts w:hint="eastAsia" w:ascii="仿宋_GB2312" w:hAnsi="等线" w:eastAsia="仿宋_GB2312" w:cs="Helvetica"/>
                <w:kern w:val="0"/>
                <w:sz w:val="24"/>
                <w:szCs w:val="24"/>
              </w:rPr>
              <w:t>国疾控综规财函〔2023〕244号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《全国医疗机构信息互通共享三年攻坚行动（2023-2025年）》</w:t>
            </w:r>
          </w:p>
        </w:tc>
        <w:tc>
          <w:tcPr>
            <w:tcW w:w="3261" w:type="dxa"/>
            <w:shd w:val="clear" w:color="auto" w:fill="auto"/>
            <w:noWrap/>
            <w:vAlign w:val="center"/>
          </w:tcPr>
          <w:p>
            <w:pPr>
              <w:adjustRightInd w:val="0"/>
              <w:snapToGrid w:val="0"/>
              <w:ind w:left="-65" w:leftChars="-31" w:right="-65" w:rightChars="-31"/>
              <w:jc w:val="both"/>
              <w:rPr>
                <w:rFonts w:ascii="仿宋_GB2312" w:hAnsi="宋体" w:eastAsia="仿宋_GB2312" w:cs="宋体"/>
                <w:sz w:val="24"/>
                <w:szCs w:val="24"/>
              </w:rPr>
            </w:pPr>
            <w:r>
              <w:rPr>
                <w:rFonts w:hint="eastAsia" w:ascii="仿宋" w:hAnsi="仿宋" w:eastAsia="仿宋" w:cs="仿宋"/>
                <w:sz w:val="24"/>
                <w:szCs w:val="28"/>
              </w:rPr>
              <w:t>国卫办规划发〔2023〕19号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《医疗机构传染病防控责任清单》</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r>
              <w:rPr>
                <w:rFonts w:hint="eastAsia" w:ascii="仿宋_GB2312" w:hAnsi="等线" w:eastAsia="仿宋_GB2312" w:cs="Helvetica"/>
                <w:kern w:val="0"/>
                <w:sz w:val="24"/>
                <w:szCs w:val="24"/>
              </w:rPr>
              <w:t>国疾控传防发〔2023〕21号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《“十四五”全民健康信息化规划》</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r>
              <w:rPr>
                <w:rFonts w:hint="eastAsia" w:ascii="仿宋_GB2312" w:hAnsi="等线" w:eastAsia="仿宋_GB2312" w:cs="Helvetica"/>
                <w:kern w:val="0"/>
                <w:sz w:val="24"/>
                <w:szCs w:val="24"/>
              </w:rPr>
              <w:t>国卫规划发〔2022〕30号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《区域全民健康信息互联互通标准化成熟度测评方案（2020年版）》</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r>
              <w:rPr>
                <w:rFonts w:hint="eastAsia" w:ascii="仿宋_GB2312" w:hAnsi="等线" w:eastAsia="仿宋_GB2312" w:cs="Helvetica"/>
                <w:kern w:val="0"/>
                <w:sz w:val="24"/>
                <w:szCs w:val="24"/>
              </w:rPr>
              <w:t>国卫统信便函〔2020〕29号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《“十四五”卫生健康标准化工作规划》</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r>
              <w:rPr>
                <w:rFonts w:hint="eastAsia" w:ascii="仿宋_GB2312" w:hAnsi="等线" w:eastAsia="仿宋_GB2312" w:cs="Helvetica"/>
                <w:kern w:val="0"/>
                <w:sz w:val="24"/>
                <w:szCs w:val="24"/>
              </w:rPr>
              <w:t>国卫法规发〔2022〕2号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等线" w:eastAsia="仿宋_GB2312" w:cs="Helvetica"/>
                <w:kern w:val="0"/>
                <w:sz w:val="24"/>
                <w:szCs w:val="24"/>
              </w:rPr>
              <w:t>《深化党和国家机构改革方案》</w:t>
            </w:r>
          </w:p>
        </w:tc>
        <w:tc>
          <w:tcPr>
            <w:tcW w:w="3261" w:type="dxa"/>
            <w:shd w:val="clear" w:color="auto" w:fill="auto"/>
            <w:noWrap/>
            <w:vAlign w:val="center"/>
          </w:tcPr>
          <w:p>
            <w:pPr>
              <w:adjustRightInd w:val="0"/>
              <w:snapToGrid w:val="0"/>
              <w:ind w:left="-65" w:leftChars="-31" w:right="-65" w:rightChars="-31"/>
              <w:jc w:val="both"/>
              <w:rPr>
                <w:rFonts w:ascii="仿宋_GB2312" w:eastAsia="仿宋_GB2312"/>
                <w:sz w:val="24"/>
                <w:szCs w:val="24"/>
              </w:rPr>
            </w:pPr>
            <w:r>
              <w:rPr>
                <w:rFonts w:hint="eastAsia" w:ascii="仿宋_GB2312" w:hAnsi="等线" w:eastAsia="仿宋_GB2312" w:cs="Helvetica"/>
                <w:kern w:val="0"/>
                <w:sz w:val="24"/>
                <w:szCs w:val="24"/>
              </w:rPr>
              <w:t>中共中央印发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等线" w:eastAsia="仿宋_GB2312" w:cs="Helvetica"/>
                <w:kern w:val="0"/>
                <w:sz w:val="24"/>
                <w:szCs w:val="24"/>
              </w:rPr>
              <w:t>《国务院办公厅关于印发医疗卫生领域中央与地方财政事权和支出责任划分改革方案的通知》</w:t>
            </w:r>
          </w:p>
        </w:tc>
        <w:tc>
          <w:tcPr>
            <w:tcW w:w="3261" w:type="dxa"/>
            <w:shd w:val="clear" w:color="auto" w:fill="auto"/>
            <w:noWrap/>
            <w:vAlign w:val="center"/>
          </w:tcPr>
          <w:p>
            <w:pPr>
              <w:adjustRightInd w:val="0"/>
              <w:snapToGrid w:val="0"/>
              <w:ind w:left="-65" w:leftChars="-31" w:right="-65" w:rightChars="-31"/>
              <w:jc w:val="both"/>
              <w:rPr>
                <w:rFonts w:ascii="仿宋_GB2312" w:eastAsia="仿宋_GB2312"/>
                <w:sz w:val="24"/>
                <w:szCs w:val="24"/>
              </w:rPr>
            </w:pPr>
            <w:r>
              <w:rPr>
                <w:rFonts w:hint="eastAsia" w:ascii="仿宋_GB2312" w:hAnsi="等线" w:eastAsia="仿宋_GB2312" w:cs="Helvetica"/>
                <w:kern w:val="0"/>
                <w:sz w:val="24"/>
                <w:szCs w:val="24"/>
              </w:rPr>
              <w:t>国办发〔2018〕67号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《国家健康医疗大数据标准、安全和服务管理办法（试行）》</w:t>
            </w:r>
          </w:p>
        </w:tc>
        <w:tc>
          <w:tcPr>
            <w:tcW w:w="3261" w:type="dxa"/>
            <w:shd w:val="clear" w:color="auto" w:fill="auto"/>
            <w:noWrap/>
            <w:vAlign w:val="center"/>
          </w:tcPr>
          <w:p>
            <w:pPr>
              <w:adjustRightInd w:val="0"/>
              <w:snapToGrid w:val="0"/>
              <w:ind w:left="-65" w:leftChars="-31" w:right="-65" w:rightChars="-31"/>
              <w:jc w:val="both"/>
              <w:rPr>
                <w:rFonts w:ascii="仿宋_GB2312" w:hAnsi="宋体" w:eastAsia="仿宋_GB2312" w:cs="宋体"/>
                <w:sz w:val="24"/>
                <w:szCs w:val="24"/>
              </w:rPr>
            </w:pPr>
            <w:r>
              <w:rPr>
                <w:rFonts w:hint="eastAsia" w:ascii="仿宋_GB2312" w:hAnsi="等线" w:eastAsia="仿宋_GB2312" w:cs="Helvetica"/>
                <w:kern w:val="0"/>
                <w:sz w:val="24"/>
                <w:szCs w:val="24"/>
              </w:rPr>
              <w:t>国卫规划发〔2018〕23号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《国务院办公厅关于促进和规范健康医疗大数据应用发展的指导意见》</w:t>
            </w:r>
          </w:p>
        </w:tc>
        <w:tc>
          <w:tcPr>
            <w:tcW w:w="3261" w:type="dxa"/>
            <w:shd w:val="clear" w:color="auto" w:fill="auto"/>
            <w:noWrap/>
            <w:vAlign w:val="center"/>
          </w:tcPr>
          <w:p>
            <w:pPr>
              <w:adjustRightInd w:val="0"/>
              <w:snapToGrid w:val="0"/>
              <w:ind w:left="-65" w:leftChars="-31" w:right="-65" w:rightChars="-31"/>
              <w:jc w:val="both"/>
              <w:rPr>
                <w:rFonts w:ascii="仿宋_GB2312" w:hAnsi="宋体" w:eastAsia="仿宋_GB2312" w:cs="宋体"/>
                <w:sz w:val="24"/>
                <w:szCs w:val="24"/>
              </w:rPr>
            </w:pPr>
            <w:r>
              <w:rPr>
                <w:rFonts w:hint="eastAsia" w:ascii="仿宋_GB2312" w:hAnsi="等线" w:eastAsia="仿宋_GB2312" w:cs="Helvetica"/>
                <w:kern w:val="0"/>
                <w:sz w:val="24"/>
                <w:szCs w:val="24"/>
              </w:rPr>
              <w:t>国办发〔2016〕47号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《人力资源社会保障部关于积极推动医疗、医保、医药联动改革的指导意见》</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r>
              <w:rPr>
                <w:rFonts w:hint="eastAsia" w:ascii="仿宋_GB2312" w:hAnsi="等线" w:eastAsia="仿宋_GB2312" w:cs="Helvetica"/>
                <w:kern w:val="0"/>
                <w:sz w:val="24"/>
                <w:szCs w:val="24"/>
              </w:rPr>
              <w:t>人社部发〔2016〕56号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《国务院关于印发政务信息资源共享管理暂行办法的通知》</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r>
              <w:rPr>
                <w:rFonts w:hint="eastAsia" w:ascii="仿宋_GB2312" w:hAnsi="等线" w:eastAsia="仿宋_GB2312" w:cs="Helvetica"/>
                <w:kern w:val="0"/>
                <w:sz w:val="24"/>
                <w:szCs w:val="24"/>
              </w:rPr>
              <w:t>国发〔2016〕51号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《工业和信息化部关于印发大数据产业发展规划（2016－2020年）的通知》</w:t>
            </w:r>
          </w:p>
        </w:tc>
        <w:tc>
          <w:tcPr>
            <w:tcW w:w="3261" w:type="dxa"/>
            <w:shd w:val="clear" w:color="auto" w:fill="auto"/>
            <w:noWrap/>
            <w:vAlign w:val="center"/>
          </w:tcPr>
          <w:p>
            <w:pPr>
              <w:adjustRightInd w:val="0"/>
              <w:snapToGrid w:val="0"/>
              <w:ind w:left="-65" w:leftChars="-31" w:right="-65" w:rightChars="-31"/>
              <w:jc w:val="both"/>
              <w:rPr>
                <w:rFonts w:ascii="仿宋_GB2312" w:hAnsi="宋体" w:eastAsia="仿宋_GB2312" w:cs="宋体"/>
                <w:sz w:val="24"/>
                <w:szCs w:val="24"/>
              </w:rPr>
            </w:pPr>
            <w:r>
              <w:rPr>
                <w:rFonts w:hint="eastAsia" w:ascii="仿宋_GB2312" w:hAnsi="等线" w:eastAsia="仿宋_GB2312" w:cs="Helvetica"/>
                <w:kern w:val="0"/>
                <w:sz w:val="24"/>
                <w:szCs w:val="24"/>
              </w:rPr>
              <w:t>工业信部规〔2016〕412号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等线" w:eastAsia="仿宋_GB2312" w:cs="Helvetica"/>
                <w:kern w:val="0"/>
                <w:sz w:val="24"/>
                <w:szCs w:val="24"/>
              </w:rPr>
              <w:t>《工业和信息化部关于印发软件和信息技术服务业发展规划（2016－2020年）的通知》</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sz w:val="24"/>
                <w:szCs w:val="24"/>
              </w:rPr>
            </w:pPr>
            <w:r>
              <w:rPr>
                <w:rFonts w:hint="eastAsia" w:ascii="仿宋_GB2312" w:hAnsi="等线" w:eastAsia="仿宋_GB2312" w:cs="Helvetica"/>
                <w:kern w:val="0"/>
                <w:sz w:val="24"/>
                <w:szCs w:val="24"/>
              </w:rPr>
              <w:t>工信部规〔2016〕425号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等线" w:eastAsia="仿宋_GB2312" w:cs="Helvetica"/>
                <w:kern w:val="0"/>
                <w:sz w:val="24"/>
                <w:szCs w:val="24"/>
              </w:rPr>
              <w:t>《国务院办公厅关于印发全国医疗卫生服务体系规划纲要（2015-2020年）的通知》</w:t>
            </w:r>
          </w:p>
        </w:tc>
        <w:tc>
          <w:tcPr>
            <w:tcW w:w="3261" w:type="dxa"/>
            <w:shd w:val="clear" w:color="auto" w:fill="auto"/>
            <w:noWrap/>
            <w:vAlign w:val="center"/>
          </w:tcPr>
          <w:p>
            <w:pPr>
              <w:adjustRightInd w:val="0"/>
              <w:snapToGrid w:val="0"/>
              <w:ind w:left="-65" w:leftChars="-31" w:right="-65" w:rightChars="-31"/>
              <w:jc w:val="both"/>
              <w:rPr>
                <w:rFonts w:ascii="仿宋_GB2312" w:eastAsia="仿宋_GB2312"/>
                <w:sz w:val="24"/>
                <w:szCs w:val="24"/>
              </w:rPr>
            </w:pPr>
            <w:r>
              <w:rPr>
                <w:rFonts w:hint="eastAsia" w:ascii="仿宋_GB2312" w:hAnsi="等线" w:eastAsia="仿宋_GB2312" w:cs="Helvetica"/>
                <w:kern w:val="0"/>
                <w:sz w:val="24"/>
                <w:szCs w:val="24"/>
              </w:rPr>
              <w:t>国办发〔2015〕14号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《国务院关于印发促进大数据发展行动纲要的通知》</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r>
              <w:rPr>
                <w:rFonts w:hint="eastAsia" w:ascii="仿宋_GB2312" w:hAnsi="等线" w:eastAsia="仿宋_GB2312" w:cs="Helvetica"/>
                <w:kern w:val="0"/>
                <w:sz w:val="24"/>
                <w:szCs w:val="24"/>
              </w:rPr>
              <w:t>国发〔2015〕50号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《国务院办公厅关于运用大数据加强对市场主体服务和监管的若干意见》（国办发〔2015〕51号）</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等线" w:eastAsia="仿宋_GB2312" w:cs="Helvetica"/>
                <w:kern w:val="0"/>
                <w:sz w:val="24"/>
                <w:szCs w:val="24"/>
              </w:rPr>
              <w:t>《国务院关于印发社会信用体系建设规划纲要（2014-2020年）的通知》</w:t>
            </w:r>
          </w:p>
        </w:tc>
        <w:tc>
          <w:tcPr>
            <w:tcW w:w="3261" w:type="dxa"/>
            <w:shd w:val="clear" w:color="auto" w:fill="auto"/>
            <w:noWrap/>
            <w:vAlign w:val="center"/>
          </w:tcPr>
          <w:p>
            <w:pPr>
              <w:adjustRightInd w:val="0"/>
              <w:snapToGrid w:val="0"/>
              <w:ind w:left="-65" w:leftChars="-31" w:right="-65" w:rightChars="-31"/>
              <w:jc w:val="both"/>
              <w:rPr>
                <w:rFonts w:ascii="仿宋_GB2312" w:hAnsi="等线" w:eastAsia="仿宋_GB2312" w:cs="Helvetica"/>
                <w:kern w:val="0"/>
                <w:sz w:val="24"/>
                <w:szCs w:val="24"/>
              </w:rPr>
            </w:pPr>
            <w:r>
              <w:rPr>
                <w:rFonts w:hint="eastAsia" w:ascii="仿宋_GB2312" w:hAnsi="等线" w:eastAsia="仿宋_GB2312" w:cs="Helvetica"/>
                <w:kern w:val="0"/>
                <w:sz w:val="24"/>
                <w:szCs w:val="24"/>
              </w:rPr>
              <w:t>国发〔2014〕21号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hint="eastAsia" w:ascii="仿宋_GB2312" w:eastAsia="仿宋_GB2312"/>
                <w:sz w:val="24"/>
                <w:szCs w:val="24"/>
              </w:rPr>
            </w:pPr>
            <w:r>
              <w:rPr>
                <w:rFonts w:hint="eastAsia" w:ascii="仿宋_GB2312" w:hAnsi="等线" w:eastAsia="仿宋_GB2312" w:cs="Helvetica"/>
                <w:kern w:val="0"/>
                <w:sz w:val="24"/>
                <w:szCs w:val="24"/>
              </w:rPr>
              <w:t>《中华人民共和国网络安全法》</w:t>
            </w:r>
          </w:p>
        </w:tc>
        <w:tc>
          <w:tcPr>
            <w:tcW w:w="3261" w:type="dxa"/>
            <w:shd w:val="clear" w:color="auto" w:fill="auto"/>
            <w:noWrap/>
            <w:vAlign w:val="center"/>
          </w:tcPr>
          <w:p>
            <w:pPr>
              <w:adjustRightInd w:val="0"/>
              <w:snapToGrid w:val="0"/>
              <w:ind w:left="-65" w:leftChars="-31" w:right="-65" w:rightChars="-31"/>
              <w:jc w:val="both"/>
              <w:rPr>
                <w:rFonts w:hint="eastAsia" w:ascii="仿宋_GB2312" w:eastAsia="仿宋_GB2312"/>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hint="eastAsia" w:ascii="仿宋_GB2312" w:eastAsia="仿宋_GB2312"/>
                <w:sz w:val="24"/>
                <w:szCs w:val="24"/>
              </w:rPr>
            </w:pPr>
            <w:r>
              <w:rPr>
                <w:rFonts w:hint="eastAsia" w:ascii="仿宋_GB2312" w:hAnsi="等线" w:eastAsia="仿宋_GB2312" w:cs="Helvetica"/>
                <w:kern w:val="0"/>
                <w:sz w:val="24"/>
                <w:szCs w:val="24"/>
              </w:rPr>
              <w:t>《中华人民共和国传染病防治法》</w:t>
            </w:r>
          </w:p>
        </w:tc>
        <w:tc>
          <w:tcPr>
            <w:tcW w:w="3261" w:type="dxa"/>
            <w:shd w:val="clear" w:color="auto" w:fill="auto"/>
            <w:noWrap/>
            <w:vAlign w:val="center"/>
          </w:tcPr>
          <w:p>
            <w:pPr>
              <w:adjustRightInd w:val="0"/>
              <w:snapToGrid w:val="0"/>
              <w:ind w:left="-65" w:leftChars="-31" w:right="-65" w:rightChars="-31"/>
              <w:jc w:val="both"/>
              <w:rPr>
                <w:rFonts w:hint="eastAsia" w:ascii="仿宋_GB2312" w:eastAsia="仿宋_GB2312"/>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vAlign w:val="center"/>
          </w:tcPr>
          <w:p>
            <w:pPr>
              <w:adjustRightInd w:val="0"/>
              <w:snapToGrid w:val="0"/>
              <w:ind w:left="-65" w:leftChars="-31" w:right="-65" w:rightChars="-31"/>
              <w:jc w:val="left"/>
              <w:rPr>
                <w:rFonts w:hint="eastAsia" w:ascii="仿宋_GB2312" w:eastAsia="仿宋_GB2312"/>
                <w:sz w:val="24"/>
                <w:szCs w:val="24"/>
              </w:rPr>
            </w:pPr>
            <w:r>
              <w:rPr>
                <w:rFonts w:hint="eastAsia" w:ascii="仿宋_GB2312" w:hAnsi="等线" w:eastAsia="仿宋_GB2312" w:cs="Helvetica"/>
                <w:kern w:val="0"/>
                <w:sz w:val="24"/>
                <w:szCs w:val="24"/>
              </w:rPr>
              <w:t>《中华人民共和国政府采购法》</w:t>
            </w:r>
          </w:p>
        </w:tc>
        <w:tc>
          <w:tcPr>
            <w:tcW w:w="3261" w:type="dxa"/>
            <w:shd w:val="clear" w:color="auto" w:fill="auto"/>
            <w:noWrap/>
            <w:vAlign w:val="center"/>
          </w:tcPr>
          <w:p>
            <w:pPr>
              <w:adjustRightInd w:val="0"/>
              <w:snapToGrid w:val="0"/>
              <w:ind w:left="-65" w:leftChars="-31" w:right="-65" w:rightChars="-31"/>
              <w:jc w:val="both"/>
              <w:rPr>
                <w:rFonts w:hint="eastAsia" w:ascii="仿宋_GB2312" w:eastAsia="仿宋_GB2312"/>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319" w:type="dxa"/>
            <w:gridSpan w:val="3"/>
            <w:shd w:val="clear" w:color="auto" w:fill="auto"/>
            <w:noWrap/>
            <w:vAlign w:val="center"/>
          </w:tcPr>
          <w:p>
            <w:pPr>
              <w:adjustRightInd w:val="0"/>
              <w:snapToGrid w:val="0"/>
              <w:ind w:left="-65" w:leftChars="-31" w:right="-65" w:rightChars="-31"/>
              <w:jc w:val="left"/>
              <w:rPr>
                <w:rFonts w:ascii="仿宋_GB2312" w:hAnsi="宋体" w:eastAsia="仿宋_GB2312" w:cs="宋体"/>
                <w:b/>
                <w:sz w:val="24"/>
                <w:szCs w:val="24"/>
              </w:rPr>
            </w:pPr>
            <w:r>
              <w:rPr>
                <w:rFonts w:hint="eastAsia" w:ascii="仿宋_GB2312" w:hAnsi="宋体" w:eastAsia="仿宋_GB2312" w:cs="宋体"/>
                <w:b/>
                <w:sz w:val="24"/>
                <w:szCs w:val="24"/>
              </w:rPr>
              <w:t>（二）</w:t>
            </w:r>
            <w:r>
              <w:rPr>
                <w:rFonts w:hint="eastAsia" w:ascii="仿宋_GB2312" w:hAnsi="宋体" w:eastAsia="仿宋_GB2312" w:cs="宋体"/>
                <w:b/>
                <w:sz w:val="24"/>
                <w:szCs w:val="24"/>
                <w:lang w:val="en-US" w:eastAsia="zh-CN"/>
              </w:rPr>
              <w:t>湖北省</w:t>
            </w:r>
            <w:r>
              <w:rPr>
                <w:rFonts w:hint="eastAsia" w:ascii="仿宋_GB2312" w:eastAsia="仿宋_GB2312"/>
                <w:b/>
                <w:sz w:val="24"/>
                <w:szCs w:val="24"/>
              </w:rPr>
              <w:t>行业相关规划和政策性文件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《传染病监测预警与应急指挥能力提升项目工作措施》</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鄂卫办通（2023）96号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《湖北省2024年省统筹区域传染病监测预警与应急指挥能力提升项目实施方案》</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《省人民政府关于印发湖北省卫生与健康事业发展“十四五”规划的通知》</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sz w:val="24"/>
                <w:szCs w:val="24"/>
              </w:rPr>
            </w:pPr>
            <w:r>
              <w:rPr>
                <w:rFonts w:hint="eastAsia" w:ascii="仿宋" w:hAnsi="仿宋" w:eastAsia="仿宋" w:cs="仿宋"/>
                <w:sz w:val="24"/>
                <w:szCs w:val="24"/>
              </w:rPr>
              <w:t>鄂卫发〔2021〕1号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《省人民政府办公厅关于印发湖北省推进数字政府建设实施方案的通知》</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鄂政办发〔2019〕6号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《省发改委 省商务厅关于印发贯彻落实国家支持湖北放宽市场准入专项政策工作清单和专项配套实施方案的通知》</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鄂发改体改〔2022〕418号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省人民政府办公厅关于印发《湖北省政务信息资源共享管理办法》和《湖北省政务信息化项目建设管理办法》的通知》</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鄂政办发〔2018〕59号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《省人民政府办公厅关于改革完善医疗卫生行业综合监管制度的实施意见》</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鄂政办发〔2018〕92号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sz w:val="24"/>
                <w:szCs w:val="24"/>
              </w:rPr>
            </w:pPr>
            <w:r>
              <w:rPr>
                <w:rFonts w:hint="eastAsia" w:ascii="仿宋" w:hAnsi="仿宋" w:eastAsia="仿宋" w:cs="仿宋"/>
                <w:sz w:val="24"/>
                <w:szCs w:val="24"/>
              </w:rPr>
              <w:t>《湖北省深化“互联网+政务服务”推进“一网、一门、一次”改革工作方案的通知》</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鄂政办发﹝2018﹞29号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《省人民政府办公厅关于促进“互联网＋医疗健康”发展的实施意见》</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鄂政办发〔2018〕91号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《省人民政府办公厅关于印发湖北省推进“互联网+放管服”改革实施方案的通知》</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鄂政办发〔2017〕38号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《省人民政府关于城乡居民基本医疗保险制度的实施意见》</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鄂政发〔2017〕9号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《省人民政府关于加快推进“互联网+政务服务”工作的实施意见》</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鄂政发〔2016〕79号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《省人民政府办公厅关于促进电子政务协调发展的实施意见》</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鄂政办发〔2015〕95号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《省委办公厅省政府办公厅关于印发〈深化全省政务服务体系建设改革实施方案〉的通知》</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鄂办发〔2015〕61号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hint="eastAsia" w:ascii="仿宋" w:hAnsi="仿宋" w:eastAsia="仿宋" w:cs="仿宋"/>
                <w:kern w:val="0"/>
                <w:sz w:val="24"/>
                <w:szCs w:val="24"/>
              </w:rPr>
            </w:pPr>
            <w:r>
              <w:rPr>
                <w:rFonts w:hint="eastAsia" w:ascii="仿宋" w:hAnsi="仿宋" w:eastAsia="仿宋" w:cs="仿宋"/>
                <w:sz w:val="24"/>
                <w:szCs w:val="24"/>
              </w:rPr>
              <w:t>《省人民政府办公厅关于完善农村贫困人口基本医疗有保障有关政策的通知》</w:t>
            </w:r>
          </w:p>
        </w:tc>
        <w:tc>
          <w:tcPr>
            <w:tcW w:w="3261" w:type="dxa"/>
            <w:shd w:val="clear" w:color="auto" w:fill="auto"/>
            <w:noWrap/>
            <w:vAlign w:val="center"/>
          </w:tcPr>
          <w:p>
            <w:pPr>
              <w:adjustRightInd w:val="0"/>
              <w:snapToGrid w:val="0"/>
              <w:ind w:left="-65" w:leftChars="-31" w:right="-65" w:rightChars="-31"/>
              <w:jc w:val="center"/>
              <w:rPr>
                <w:rFonts w:hint="eastAsia" w:ascii="仿宋" w:hAnsi="仿宋" w:eastAsia="仿宋" w:cs="仿宋"/>
                <w:kern w:val="0"/>
                <w:sz w:val="24"/>
                <w:szCs w:val="24"/>
              </w:rPr>
            </w:pPr>
            <w:r>
              <w:rPr>
                <w:rFonts w:hint="eastAsia" w:ascii="仿宋" w:hAnsi="仿宋" w:eastAsia="仿宋" w:cs="仿宋"/>
                <w:sz w:val="24"/>
                <w:szCs w:val="24"/>
              </w:rPr>
              <w:t>鄂政办发〔2018〕24号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319" w:type="dxa"/>
            <w:gridSpan w:val="3"/>
            <w:shd w:val="clear" w:color="auto" w:fill="auto"/>
            <w:noWrap/>
            <w:vAlign w:val="center"/>
          </w:tcPr>
          <w:p>
            <w:pPr>
              <w:adjustRightInd w:val="0"/>
              <w:snapToGrid w:val="0"/>
              <w:ind w:left="-65" w:leftChars="-31" w:right="-65" w:rightChars="-31"/>
              <w:jc w:val="left"/>
              <w:rPr>
                <w:rFonts w:ascii="仿宋_GB2312" w:hAnsi="等线" w:eastAsia="仿宋_GB2312" w:cs="Helvetica"/>
                <w:b/>
                <w:kern w:val="0"/>
                <w:sz w:val="24"/>
                <w:szCs w:val="24"/>
              </w:rPr>
            </w:pPr>
            <w:r>
              <w:rPr>
                <w:rFonts w:hint="eastAsia" w:ascii="仿宋_GB2312" w:hAnsi="等线" w:eastAsia="仿宋_GB2312" w:cs="Helvetica"/>
                <w:b/>
                <w:kern w:val="0"/>
                <w:sz w:val="24"/>
                <w:szCs w:val="24"/>
              </w:rPr>
              <w:t>（三）监理服务管理规范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color w:val="000000"/>
                <w:sz w:val="24"/>
                <w:szCs w:val="24"/>
              </w:rPr>
              <w:t>《建设工程质量管理条例》</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r>
              <w:rPr>
                <w:rFonts w:hint="eastAsia" w:ascii="仿宋_GB2312" w:hAnsi="Times New Roman" w:eastAsia="仿宋_GB2312"/>
                <w:color w:val="000000"/>
                <w:sz w:val="24"/>
                <w:szCs w:val="24"/>
              </w:rPr>
              <w:t>国务院令（第279号）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color w:val="000000"/>
                <w:sz w:val="24"/>
                <w:szCs w:val="24"/>
              </w:rPr>
              <w:t>《建设工程安全生产管理条例》</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r>
              <w:rPr>
                <w:rFonts w:hint="eastAsia" w:ascii="仿宋_GB2312" w:hAnsi="Times New Roman" w:eastAsia="仿宋_GB2312"/>
                <w:color w:val="000000"/>
                <w:sz w:val="24"/>
                <w:szCs w:val="24"/>
              </w:rPr>
              <w:t>国务院令（第393号）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color w:val="000000"/>
                <w:sz w:val="24"/>
                <w:szCs w:val="24"/>
              </w:rPr>
              <w:t>《建设工程监理规范》</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r>
              <w:rPr>
                <w:rFonts w:hint="eastAsia" w:ascii="仿宋_GB2312" w:hAnsi="Times New Roman" w:eastAsia="仿宋_GB2312"/>
                <w:color w:val="000000"/>
                <w:sz w:val="24"/>
                <w:szCs w:val="24"/>
              </w:rPr>
              <w:t>GB50319-2000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color w:val="000000"/>
                <w:sz w:val="24"/>
                <w:szCs w:val="24"/>
              </w:rPr>
              <w:t>《建设工程监理与相关服务收费管理规定》</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r>
              <w:rPr>
                <w:rFonts w:hint="eastAsia" w:ascii="仿宋_GB2312" w:hAnsi="Times New Roman" w:eastAsia="仿宋_GB2312"/>
                <w:color w:val="000000"/>
                <w:sz w:val="24"/>
                <w:szCs w:val="24"/>
              </w:rPr>
              <w:t>发改价格[2007]670号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color w:val="000000"/>
                <w:sz w:val="24"/>
                <w:szCs w:val="24"/>
              </w:rPr>
              <w:t>《信息系统工程监理暂行规定》</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r>
              <w:rPr>
                <w:rFonts w:hint="eastAsia" w:ascii="仿宋_GB2312" w:hAnsi="Times New Roman" w:eastAsia="仿宋_GB2312"/>
                <w:color w:val="000000"/>
                <w:sz w:val="24"/>
                <w:szCs w:val="24"/>
              </w:rPr>
              <w:t>信部信[2002] 570号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color w:val="000000"/>
                <w:sz w:val="24"/>
                <w:szCs w:val="24"/>
              </w:rPr>
              <w:t>《信息系统工程监理单位资质管理办法》和《信息系统工程监理工程师资格管理办法》</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r>
              <w:rPr>
                <w:rFonts w:hint="eastAsia" w:ascii="仿宋_GB2312" w:hAnsi="Times New Roman" w:eastAsia="仿宋_GB2312"/>
                <w:color w:val="000000"/>
                <w:sz w:val="24"/>
                <w:szCs w:val="24"/>
              </w:rPr>
              <w:t>信部信［2003］142号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color w:val="000000"/>
                <w:sz w:val="24"/>
                <w:szCs w:val="24"/>
              </w:rPr>
              <w:t>《通信建设工程价款结算暂行办法》</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r>
              <w:rPr>
                <w:rFonts w:hint="eastAsia" w:ascii="仿宋_GB2312" w:hAnsi="Times New Roman" w:eastAsia="仿宋_GB2312"/>
                <w:color w:val="000000"/>
                <w:sz w:val="24"/>
                <w:szCs w:val="24"/>
              </w:rPr>
              <w:t>信部规（2005）418号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color w:val="000000"/>
                <w:sz w:val="24"/>
                <w:szCs w:val="24"/>
              </w:rPr>
              <w:t>原邮电部《邮电建设工程项目档案资料管理办法》</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Times New Roman" w:eastAsia="仿宋_GB2312"/>
                <w:color w:val="000000"/>
                <w:sz w:val="24"/>
                <w:szCs w:val="24"/>
              </w:rPr>
            </w:pPr>
            <w:r>
              <w:rPr>
                <w:rFonts w:hint="eastAsia" w:ascii="仿宋_GB2312" w:hAnsi="Times New Roman" w:eastAsia="仿宋_GB2312"/>
                <w:color w:val="000000"/>
                <w:sz w:val="24"/>
                <w:szCs w:val="24"/>
              </w:rPr>
              <w:t>其他有关信息工程监理的政策、法规等文件</w:t>
            </w:r>
          </w:p>
        </w:tc>
        <w:tc>
          <w:tcPr>
            <w:tcW w:w="3261" w:type="dxa"/>
            <w:shd w:val="clear" w:color="auto" w:fill="auto"/>
            <w:noWrap/>
            <w:vAlign w:val="center"/>
          </w:tcPr>
          <w:p>
            <w:pPr>
              <w:adjustRightInd w:val="0"/>
              <w:snapToGrid w:val="0"/>
              <w:ind w:left="-65" w:leftChars="-31" w:right="-65" w:rightChars="-31"/>
              <w:jc w:val="center"/>
              <w:rPr>
                <w:rFonts w:ascii="仿宋_GB2312" w:hAnsi="等线" w:eastAsia="仿宋_GB2312" w:cs="Helvetica"/>
                <w:kern w:val="0"/>
                <w:sz w:val="24"/>
                <w:szCs w:val="24"/>
              </w:rPr>
            </w:pPr>
          </w:p>
        </w:tc>
      </w:tr>
    </w:tbl>
    <w:p>
      <w:pPr>
        <w:adjustRightInd w:val="0"/>
        <w:snapToGrid w:val="0"/>
        <w:spacing w:line="360" w:lineRule="auto"/>
        <w:ind w:firstLine="480" w:firstLineChars="200"/>
        <w:rPr>
          <w:rFonts w:ascii="仿宋_GB2312" w:hAnsi="Times New Roman" w:eastAsia="仿宋_GB2312"/>
          <w:color w:val="000000"/>
          <w:sz w:val="24"/>
          <w:szCs w:val="28"/>
        </w:rPr>
      </w:pP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4.2.4监理服务准则</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监理服务应遵守的基本准则，遵照国家主管部门信部信[2002]570号《信息系统项目监理暂行规定》的规定，以“守法、诚信、公正、科学”的准则执业，维护采购人与承建方的合法权益。包括：</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（1）坚持科学的态度和实事求是的原则，执行有关项目建设的国家法律、法规、规范、标准和制度，履行监理合同规定的义务和职责；</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（2）在坚持按监理合同的规定向采购人提供技术服务的同时，帮助被监理者完成所担负的建设任务；</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（3）坚持公正、公平、公开、独立地开展监理工作，处理有关项目各方的争议；</w:t>
      </w:r>
      <w:r>
        <w:rPr>
          <w:rFonts w:ascii="仿宋_GB2312" w:hAnsi="Times New Roman" w:eastAsia="仿宋_GB2312"/>
          <w:color w:val="000000"/>
          <w:sz w:val="24"/>
          <w:szCs w:val="28"/>
        </w:rPr>
        <w:t xml:space="preserve"> </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（4）不得泄漏所监理项目各方认为需要保密的事项；</w:t>
      </w:r>
      <w:r>
        <w:rPr>
          <w:rFonts w:ascii="仿宋_GB2312" w:hAnsi="Times New Roman" w:eastAsia="仿宋_GB2312"/>
          <w:color w:val="000000"/>
          <w:sz w:val="24"/>
          <w:szCs w:val="28"/>
        </w:rPr>
        <w:t xml:space="preserve"> </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（5）遵守国家的法律和政府的有关条例、规定和办法等；</w:t>
      </w:r>
    </w:p>
    <w:p>
      <w:pPr>
        <w:adjustRightInd w:val="0"/>
        <w:snapToGrid w:val="0"/>
        <w:spacing w:line="360" w:lineRule="auto"/>
        <w:ind w:firstLine="480" w:firstLineChars="200"/>
        <w:outlineLvl w:val="2"/>
        <w:rPr>
          <w:rFonts w:ascii="仿宋_GB2312" w:hAnsi="Times New Roman" w:eastAsia="仿宋_GB2312"/>
          <w:b/>
          <w:bCs/>
          <w:color w:val="000000"/>
          <w:sz w:val="24"/>
          <w:szCs w:val="28"/>
        </w:rPr>
      </w:pPr>
      <w:r>
        <w:rPr>
          <w:rFonts w:hint="eastAsia" w:ascii="仿宋_GB2312" w:hAnsi="Times New Roman" w:eastAsia="仿宋_GB2312"/>
          <w:b/>
          <w:bCs/>
          <w:color w:val="000000"/>
          <w:sz w:val="24"/>
          <w:szCs w:val="28"/>
        </w:rPr>
        <w:t>4.3服务要求</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4.3.1监理全过程要求</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依据相关法律法规、招投标文件、合同书，以及采购人、项目管理单位的相关要求，与各子项目承建单位共同制定各项目质量控制、进度控制、投资控制、变更控制的规章制度，并审查、监督项目各方的履约情况；</w:t>
      </w:r>
    </w:p>
    <w:p>
      <w:pPr>
        <w:adjustRightInd w:val="0"/>
        <w:snapToGrid w:val="0"/>
        <w:spacing w:line="360" w:lineRule="auto"/>
        <w:ind w:left="482"/>
        <w:rPr>
          <w:rFonts w:ascii="仿宋_GB2312" w:hAnsi="宋体" w:eastAsia="仿宋_GB2312" w:cs="仿宋_GB2312"/>
          <w:bCs/>
          <w:sz w:val="24"/>
        </w:rPr>
      </w:pPr>
      <w:r>
        <w:rPr>
          <w:rFonts w:hint="eastAsia" w:ascii="仿宋_GB2312" w:hAnsi="宋体" w:eastAsia="仿宋_GB2312" w:cs="仿宋_GB2312"/>
          <w:bCs/>
          <w:sz w:val="24"/>
        </w:rPr>
        <w:t>4.3.1.1质量控制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质量控制目标：严格按照招标文件和监理合同的质量要求，确保在项目建设按质、按量完成。</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（1）审查项目的质量控制计划，并监督计划的执行；</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（2）采取事前预防、事中控制、事后纠正的监理方式，依据国家法律、法规、标准以及项目合同、设计方案、监理规划、监理实施细则等文件控制项目建设质量；</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（3）根据各子项目的特点，制定包括验收标准、验收方法和质量控制措施在内的详细监理控制方案；</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（4）编制重大质量问题的处理预案，包括系统建设过程中可能出现的重大质量问题的处理预案；</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（5）组织系统建设工程质量事故的原因调查、问题分析、问题评估、事故处理；</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（6）组织系统建设质量检查、试运行测试和验收；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（7）督促承担单位整改项目存在的问题；</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（8）参与工程竣工验收和交接；</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（9）跟踪系统在质保期内的运行状况，督促施工方做好售后服务。</w:t>
      </w:r>
    </w:p>
    <w:p>
      <w:pPr>
        <w:adjustRightInd w:val="0"/>
        <w:snapToGrid w:val="0"/>
        <w:spacing w:line="360" w:lineRule="auto"/>
        <w:ind w:left="482"/>
        <w:rPr>
          <w:rFonts w:ascii="仿宋_GB2312" w:hAnsi="宋体" w:eastAsia="仿宋_GB2312" w:cs="仿宋_GB2312"/>
          <w:bCs/>
          <w:sz w:val="24"/>
        </w:rPr>
      </w:pPr>
      <w:r>
        <w:rPr>
          <w:rFonts w:hint="eastAsia" w:ascii="仿宋_GB2312" w:hAnsi="宋体" w:eastAsia="仿宋_GB2312" w:cs="仿宋_GB2312"/>
          <w:bCs/>
          <w:sz w:val="24"/>
        </w:rPr>
        <w:t>4.3.1.2进度控制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进度控制目标：严格按照招标文件和监理合同的工期要求，确保在规定的施工期内完成本工程。</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（1）审查各子项目的系统建设进度计划，并监督计划的执行；</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（2）采用先进的项目管理工具，如：WBS，甘特图等，确定各子项目实施工序顺序，控制项目施工进度；</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（3）发现系统建设进程未能按计划进行时，要求承建单位调整或修改计划，采取必要措施加快施工进度，以使实际施工进度符合合同的要求；</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（4）当系统建设进度拖后可能导致合同工期严重延误时，有责任作详细报告分析原因和提出对策，供采购人采取措施或做出决定。</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4.3.1.3投资控制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投资控制目标：严格按照监理规范要求进行投资控制，工程投资应控制在采购人与承建单位所签订的工程合同价款之内。</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（1）动态跟踪管理项目建设成本，进行成本、费用控制和分析；</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（2）审查项目建设进度款申报；</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（3）严格控制和审查项目变更导致的成本变化;</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（4）审核项目量清单和项目竣工结算。</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4.3.1.4变更控制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变更控制目标：按照招标文件和监理合同的规定，严格把控项目变更，对项目实施过程中可能发生的风险和可能引起的变更保持预控能力，以及快速应对能力。</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（1）严格控制和审查项目变更，没有取得采购人批准，不得进行任何项目变更；</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（2）对变更内容的可行性以及变更影响进行详细评估，包括变更引起项目成本变化和工程量变化;</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（3）组织召开项目变更评审会议，协调三方对变更处理意见的确认:</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（4）对获得批准的变更请求，监督变更的执行过程。</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4.3.1.5合同管理</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合同管理目标：严格按照招标文件和监理合同的有关要求，对项目建设中建设单位与各子项目承建单位签订合同的各环节进行管理，维护合同订立双方的正当权益。</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（1）协助采购人与子项目承建单位签订合同；</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（2）监督检查项目各方履行合同；</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（3）审核合同分包情况，协助采购人处理项目实施过程中出现的违约、索赔、延期、分项、纠纷调解及仲裁等问题。</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4.3.1.6信息管理</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信息管理目标：严格按照招标文件和监理合同的有关要求，建立项目实施的信息管理制度，沟通信息流通渠道，实现信息管理的规范化、标准化。</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（1）及时向采购人提交反映项目动态和监理工作情况的项目文档；</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（2）建立全面、准确反映项目各阶段工程状况的图表、文档，收集、管理项目各类文档和资料；</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（3）督促、检查施工方及时完成各阶段设备资料、工程技术资料的整理和归档工作；</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（4）转发采购人发出的一切指示、通知和业务联系单；</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（5）采用图表、统计技术或其他先进的管理方法，定期公布项目质量、进度、成本数据，就项目中存在或出现的问题向采购人、子项承包人、设计单位提出独立、公正、公平的意见建议或解决方案；</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（6）当系统建设出现质量问题或严重偏离计划时，应及时向采购人报告，并提出对策建议，同时督促子项承包人尽快采取措施。</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（7）本项目竣工后向采购人提供</w:t>
      </w:r>
      <w:r>
        <w:rPr>
          <w:rFonts w:hint="eastAsia" w:ascii="仿宋_GB2312" w:hAnsi="仿宋" w:eastAsia="仿宋_GB2312"/>
          <w:sz w:val="24"/>
          <w:lang w:val="en-US" w:eastAsia="zh-CN"/>
        </w:rPr>
        <w:t>4</w:t>
      </w:r>
      <w:r>
        <w:rPr>
          <w:rFonts w:hint="eastAsia" w:ascii="仿宋_GB2312" w:hAnsi="仿宋" w:eastAsia="仿宋_GB2312"/>
          <w:sz w:val="24"/>
        </w:rPr>
        <w:t>套竣工资料和与其内容相同的电子版1套。</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4.3.1.7安全管理</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安全管理目标：严格按照招标文件和监理合同的有关要求，确保</w:t>
      </w:r>
      <w:r>
        <w:rPr>
          <w:rFonts w:ascii="仿宋" w:hAnsi="仿宋" w:eastAsia="仿宋"/>
          <w:sz w:val="24"/>
        </w:rPr>
        <w:t>项目开发、实施部署至项目验收期间无安全事故。</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（1）审核信息化项目自身建设的安全性，包括系统安全防护、保密性、完整性等；</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（2）做好对项目各方的信息安全教育，尤其是对连接政务网、专网的计算机、移动存储等设备的安全使用;</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（3）跟进承建单位与采购人签订《保密安全协议》，并监督执行情况:</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（4）对于视频监控（含会议室改造）等涉及工程施工类的信息化项目，做好施工安全、人身安全的监督管理。</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4.3.1.8组织协调</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组织协调目标：形成有效的组织协调机制，在项目各有关方之间进行沟通协调，保持关系融洽顺畅，确保项目顺利实施。</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（1）确定项目各方之间的工作范围和职责；</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（2）监督项目各方履行职责，协调各方的工作关系；</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（3）建立畅通的沟通平台和沟通渠道，采取有效措施使项目信息在有关各方之间保持顺畅流通；</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（4）组织召开各类项目会议，推动项目实施过程中有关问题的解决。</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4.3.2各阶段监理工作任务</w:t>
      </w:r>
      <w:r>
        <w:rPr>
          <w:rFonts w:hint="eastAsia" w:ascii="仿宋_GB2312" w:hAnsi="仿宋" w:eastAsia="仿宋_GB2312"/>
          <w:b/>
          <w:sz w:val="24"/>
          <w:szCs w:val="28"/>
        </w:rPr>
        <w:t xml:space="preserve"> </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Times New Roman" w:eastAsia="仿宋_GB2312"/>
          <w:color w:val="000000"/>
          <w:sz w:val="24"/>
          <w:szCs w:val="28"/>
        </w:rPr>
        <w:t>4.3.2</w:t>
      </w:r>
      <w:r>
        <w:rPr>
          <w:rFonts w:hint="eastAsia" w:ascii="仿宋_GB2312" w:hAnsi="仿宋" w:eastAsia="仿宋_GB2312"/>
          <w:sz w:val="24"/>
          <w:szCs w:val="28"/>
        </w:rPr>
        <w:t>.</w:t>
      </w:r>
      <w:r>
        <w:rPr>
          <w:rFonts w:hint="eastAsia" w:ascii="仿宋_GB2312" w:hAnsi="Times New Roman" w:eastAsia="仿宋_GB2312"/>
          <w:color w:val="000000"/>
          <w:sz w:val="24"/>
          <w:szCs w:val="28"/>
        </w:rPr>
        <w:t>1项目采购阶段</w:t>
      </w:r>
      <w:r>
        <w:rPr>
          <w:rFonts w:hint="eastAsia" w:ascii="仿宋_GB2312" w:hAnsi="仿宋" w:eastAsia="仿宋_GB2312"/>
          <w:sz w:val="24"/>
          <w:szCs w:val="28"/>
        </w:rPr>
        <w:t>：</w:t>
      </w:r>
    </w:p>
    <w:p>
      <w:pPr>
        <w:tabs>
          <w:tab w:val="left" w:pos="-540"/>
          <w:tab w:val="left" w:pos="525"/>
        </w:tabs>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 xml:space="preserve">（1）监理单位须及时建立监理组织体系，明确职责范围，与采购人及承建单位建立工作联系渠道； </w:t>
      </w:r>
    </w:p>
    <w:p>
      <w:pPr>
        <w:tabs>
          <w:tab w:val="left" w:pos="-540"/>
          <w:tab w:val="left" w:pos="525"/>
        </w:tabs>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w:t>
      </w:r>
      <w:r>
        <w:rPr>
          <w:rFonts w:hint="eastAsia" w:ascii="仿宋_GB2312" w:hAnsi="仿宋" w:eastAsia="仿宋_GB2312" w:cs="仿宋"/>
          <w:sz w:val="24"/>
          <w:szCs w:val="24"/>
        </w:rPr>
        <w:t>协助审核项目合同，</w:t>
      </w:r>
      <w:r>
        <w:rPr>
          <w:rFonts w:hint="eastAsia" w:ascii="仿宋_GB2312" w:hAnsi="仿宋" w:eastAsia="仿宋_GB2312"/>
          <w:sz w:val="24"/>
          <w:szCs w:val="28"/>
        </w:rPr>
        <w:t>促使建设单位与第三方签订的相关合同在技术、经济上合理；</w:t>
      </w:r>
    </w:p>
    <w:p>
      <w:pPr>
        <w:tabs>
          <w:tab w:val="left" w:pos="-540"/>
          <w:tab w:val="left" w:pos="525"/>
        </w:tabs>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（3）审核各项建设内容的具体实施方案，并提出相应的实施方案监理报告；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4.3.2.2准备与启动阶段：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（1）组织设计交底，了解项目需求、质量要求，依据设计招标文件，审核总体设计方案和有关的技术合同附件，以避免因设计失误造成项目实施的障碍；</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（2）审核项目实施方案的合法性、合理性、与设计方案的符合性；</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（3）审核项目实施计划，对承建单位的实施进度计划进行评估和审查；</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（4）审核项目实施团队组织机构情况，确认承建单位提交的项目团队成员与实际工作人员的一致性，如有变更，则要求叙述其原因并履行审批手续。</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（5）审批开工申请，确定开工日期；</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（6）掌握项目实施条件准备情况；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（7）掌握承建单位项目实施前期的人员组织、设备工具到位情况；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（8）制定监理规划，编制监理实施细则；</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（9）签发开工令。</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Times New Roman" w:eastAsia="仿宋_GB2312"/>
          <w:color w:val="000000"/>
          <w:sz w:val="24"/>
          <w:szCs w:val="28"/>
        </w:rPr>
        <w:t>4.3.2</w:t>
      </w:r>
      <w:r>
        <w:rPr>
          <w:rFonts w:hint="eastAsia" w:ascii="仿宋_GB2312" w:hAnsi="仿宋" w:eastAsia="仿宋_GB2312"/>
          <w:sz w:val="24"/>
          <w:szCs w:val="28"/>
        </w:rPr>
        <w:t>.3项目实施阶段：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（1）审核和确认采购计划、安装调试计划、试运行计划，按照采购人的预算进行投资控制，协助采购人验收采购货物；</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（2）项目材料、系统软件的供货计划的审核；</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（3）项目材料、系统软件的进场、检验；</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（4）促使项目中所使用的产品和服务符合承建合同及国家相关法律、法规和标准；</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（5）对工程施工各个阶段的安装工艺进行检查；</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（6）组织隐蔽工程验收；</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（7）审核项目各个阶段进度计划；</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（8）督促、检查承建单位进度执行情况；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（9）审查项目变更，提出监理意见；</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（10）处理项目实施过程中出现的质量事故；</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（11）审查承建单位阶段项目款支付申请，提出监理意见；</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（12）按周（月、季）定期向项目建设单位提出相应的监理报告；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（13）组织召开项目例会和项目专项会议，形成相关会议纪要。</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Times New Roman" w:eastAsia="仿宋_GB2312"/>
          <w:color w:val="000000"/>
          <w:sz w:val="24"/>
          <w:szCs w:val="28"/>
        </w:rPr>
        <w:t>4.3.2</w:t>
      </w:r>
      <w:r>
        <w:rPr>
          <w:rFonts w:hint="eastAsia" w:ascii="仿宋_GB2312" w:hAnsi="仿宋" w:eastAsia="仿宋_GB2312"/>
          <w:sz w:val="24"/>
          <w:szCs w:val="28"/>
        </w:rPr>
        <w:t>.3初验和试运行阶段：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（1）协助建设单位制定验收程序和标准，审查承建单位提交的验收申请及相关材料；</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（2）组织、主持初步验收评审会议，并跟踪遗留问题解决；</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（3）初验通过后确认进入项目试运行；</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（4）监查系统的调试和试运行情况，记录系统试运行数据；</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（5）协助建设单位组织对系统的测试，审核测试报告；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（6）对试运行期间系统出现的质量问题进行记录，并责成有关单位解决，解决问题后，进行二次监测；</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（7）进行试运行时间核算；</w:t>
      </w:r>
    </w:p>
    <w:p>
      <w:pPr>
        <w:adjustRightInd w:val="0"/>
        <w:snapToGrid w:val="0"/>
        <w:spacing w:line="360" w:lineRule="auto"/>
        <w:ind w:firstLine="480" w:firstLineChars="200"/>
        <w:rPr>
          <w:rFonts w:ascii="仿宋_GB2312" w:hAnsi="宋体" w:eastAsia="仿宋_GB2312" w:cs="仿宋_GB2312"/>
          <w:sz w:val="24"/>
        </w:rPr>
      </w:pPr>
      <w:r>
        <w:rPr>
          <w:rFonts w:hint="eastAsia" w:ascii="仿宋_GB2312" w:hAnsi="仿宋" w:eastAsia="仿宋_GB2312"/>
          <w:sz w:val="24"/>
          <w:szCs w:val="28"/>
        </w:rPr>
        <w:t>（8）协助建设单位确认试运行通过，针对初验提出监理报告。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Times New Roman" w:eastAsia="仿宋_GB2312"/>
          <w:color w:val="000000"/>
          <w:sz w:val="24"/>
          <w:szCs w:val="28"/>
        </w:rPr>
        <w:t>4.3.2</w:t>
      </w:r>
      <w:r>
        <w:rPr>
          <w:rFonts w:hint="eastAsia" w:ascii="仿宋_GB2312" w:hAnsi="仿宋" w:eastAsia="仿宋_GB2312"/>
          <w:sz w:val="24"/>
          <w:szCs w:val="28"/>
        </w:rPr>
        <w:t>.4终验和移交阶段：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（1）对承建单位在试运行阶段出现的问题的整改情况进行监督和复查；</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（2）监督检查承建单位作好用户培训工作，检查项目各式用户文档；</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（3）协助建设单位、承建单位筹备和审查验收文档；</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（4）协助执行单位审查项目提交的终验文档;</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（5）协助执行单位组织项目最终验收，针对终验提出监理报告;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（6）签署项目验收报告;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（7）审核项目结算；</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（8）审查承建单位阶段项目款支付申请，提出监理意见；</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（9）将所有的监理材料汇总，向建设单位提交监理工作总结及相关文档材料；</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（10）系统验收完毕进入保修阶段的审核与签发移交证书；</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（11）协助并监督各承建单位向承建单位进行项目移交，包括设备、软件、材料、文档等。</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4.3.2.5质保阶段：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 xml:space="preserve">（1）依据委托合同约定的项目质保期内监理工作的时间、范围和内容开展工作。  </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（2）质保阶段对项目各系统缺陷修复及功能优化的质量要求与实施阶段的监理工作一致。</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投标人根据上述监理工作内容（但不局限于上述内容），分别制定详细的监理工作流程，使项目的监理工作流程化、制度化。</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4.3.3监理组织服务要求</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4.3.3.1监理机构</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本项目实行总监理工程师负责制，按照监理工作规范及采购人、项目管理单位要求，实施项目监理工作，并对项目重大决策提出建议和意见。中标人组建项目监理团队，监理团队由总监理工程师1名、总监理工程师代表1名、专业监理工程师</w:t>
      </w:r>
      <w:r>
        <w:rPr>
          <w:rFonts w:hint="eastAsia" w:ascii="仿宋_GB2312" w:hAnsi="Times New Roman" w:eastAsia="仿宋_GB2312"/>
          <w:color w:val="000000"/>
          <w:sz w:val="24"/>
          <w:szCs w:val="28"/>
          <w:lang w:val="en-US" w:eastAsia="zh-CN"/>
        </w:rPr>
        <w:t>2</w:t>
      </w:r>
      <w:r>
        <w:rPr>
          <w:rFonts w:hint="eastAsia" w:ascii="仿宋_GB2312" w:hAnsi="Times New Roman" w:eastAsia="仿宋_GB2312"/>
          <w:color w:val="000000"/>
          <w:sz w:val="24"/>
          <w:szCs w:val="28"/>
        </w:rPr>
        <w:t>名及若干监理人员组成。监理团队人员配置应专业对口，且专业配置齐全，监理人员常驻现场、吃苦耐劳、认真负责、秉公办事、廉洁自律。</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4.3.3.2服务方式</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项目实施过程中，要求监理服务以驻场监理的方式进行。同时，监理单位在武汉市的常设服务机构要求有固定的工作场所和必要的办公、通讯条件、软硬件设备，保证能正常地开展监理服务工作（投标人应提供在武汉常设机构的地点以及办公环境条件、软硬件设备清单等证明文件）。合同签订后，监理团队应立即进入项目现场，协助采购人开展设计深化、工程招标、技术要求、费用控制、实施计划、施工组织等工作。</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4.3.3.3监理人员</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总监理工程师。对本项目监理工作负总责，进行总体技术指导，协调相关技术人员，落实工作职责。具有人力资源和社会保障部门颁发的《信息系统项目管理师》证书，具有通信、信息化领域高级工程师职称，具有10年或以上从事信息系统工程监理工作的经历，并且必须承担过至少一个类似项目的监理工作。其主要职责包括：</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（1）保持与采购人的密切联系，弄清其建设意图和对监理的要求；</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（2）主持编写《监理规划》、审批各子项的监理实施细则；</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（3）负责组建项目的监理班子，明确相应的职责分工和主持制订监理工作的运行制度；</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 xml:space="preserve">（4）审核由子项（现场）监理组编制的监理工作计划及各专业监理工程师编制的各专业监理的实施细则； </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（5）根据项目的《监理规划》，组织、指导并检查项目监理工作，保证《监理规划》的实施；</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（6）协助采购人拟订项目的合同体系，负责建立项目的合同管理体系；</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（7）负责组织项目实施中有关方面的综合协调工作；</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（8）审核并签署承建单位的实施组织设计或实施方案；</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（9）审核并签署项目开工令、停工令、复工令以及承建商的月进度计划；</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（10）审核并签署项目款的支付申请；</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（11）主持处理项目中发生的重大质量事故、责任事故、安全事故；</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（12）主持处理合同履行中的重大争议与纠纷；</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（13）组织单项项目、分期交工项目和项目的竣工验收，并签署相应的质监报告和验收报告，签发竣工证书和缺陷责任终止证书；</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（14）主持审核项目的结算书；</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（15）组织处理重大的索赔；</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（16）定期或不定期的向采购人提交项目实施的情况报告；</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（17）主持项目监理组织的工作例会；</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（18）审核并签署项目竣工资料；</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（19）主持编写项目监理工作总结报告；</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（20）负责对其它监理工程师提供培训。</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2.总监理工程师代表。具体负责组织、开展本项目监理工作，协调相关技术人员完成职责任务。具有人力资源和社会保障部门颁发的《信息系统项目管理师》证书，具有通信、信息化领域高级工程师职称，具有5年或以上从事信息系统工程监理工作的经历，并且必须承担过至少一个类似项目的监理工作。其主要职责包括：</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（1）组织编制子项（现场）的监理工作计划、监理规划、监理实施细则；</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（2）参与拟定承建合同条件和合同的洽谈；</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（3）初审承建单位提交的实施组织设计或实施方案；</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（4）审核单项项目开工申请，检查开工条件，签署起算工期的意见；</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（5）负责现场各承建单位间的协调工作，主持现场定期及不定期的协调会；</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（6）负责组织现场的质监工作；</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（7）组织重要分项（部）项目及单位项目的检查验收；</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（8）审签项目设计变更及技术核定单；</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（9）审签有关项目进度、质量、费用的签证；</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（10）负责项目进度的检查监督；</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（11）审签项目款支付申请；</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（12）组织项目质量事故、安全事故的处理；</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（13）负责现场施工安全及防火的检查监督；</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（14）审核、整理项目竣工资料；</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（15）协助项目竣工验收；</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（16）公正地处理索赔事宜；</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（17）参与审核项目结算资料；</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（18）建立项目的监理日志；</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（19）定期及不定期地向总监理工程师及采购人提交反映项目动态的有关报告；</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（20）主持编写子项（现场）监理工作总结。</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3.专业监理工程师。按照监理工作总体要求，落实各子项目具体监理任务，保证监理的项目能够按时、按质、按量实施和竣工。具有人力资源和社会保障部门颁发的《信息系统监理师》证书。其主要职责包括：</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（1）负责进场材料、构件、半成品、设备等的质量检查；</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（2）应对施工条件以及施工全过程、全天候情况旁站监理，跟踪检查，详细记录，每天将旁站情况报主管工程师；</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（3）工序间交接检查、验收及签署，工序完成后整理全部记录，写出评语，交主管工程师备查；</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（4）负责工程计量、验方及签署原始凭证；</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（5）负责现场施工安全、防火的检查、监督；</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（6）坚持记录监理日记，及时、如实填报原始记录；</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（7）及时报告现场发生的质量事故、安全事故和异常情况。</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4.监理人员。负责做好监理任务接收、监理合同签订、监理文档管理、内部沟通协调等，支撑监理团队。</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项目实施过程中，提供至少</w:t>
      </w:r>
      <w:r>
        <w:rPr>
          <w:rFonts w:hint="eastAsia" w:ascii="仿宋_GB2312" w:hAnsi="Times New Roman" w:eastAsia="仿宋_GB2312"/>
          <w:color w:val="000000"/>
          <w:sz w:val="24"/>
          <w:szCs w:val="28"/>
          <w:lang w:val="en-US" w:eastAsia="zh-CN"/>
        </w:rPr>
        <w:t>2</w:t>
      </w:r>
      <w:r>
        <w:rPr>
          <w:rFonts w:hint="eastAsia" w:ascii="仿宋_GB2312" w:hAnsi="Times New Roman" w:eastAsia="仿宋_GB2312"/>
          <w:color w:val="000000"/>
          <w:sz w:val="24"/>
          <w:szCs w:val="28"/>
        </w:rPr>
        <w:t>人现场驻场服务。投标人须提供拟派监理团队人员清单，清单要求包括但不限于：姓名、性别、身份证号、职称、项目职责等信息，并附上拟派人员的身份证复印件、证书复印件、签订的劳务合同复印件、从事信息系统工程监理工作的相关经历证明。中标人须保证监理团队人员按投标响应文件中提供的拟派人员清单到位，总监理工程师代表及专业监理工程师必须专职从事本项目的监理工作，建设服务期内不参与其他任何类似项目的监理投标工作。中标人不得随意更换监理人员，确需更换监理机构人员的，须提交书面申请，并经采购人同意方可更换，且人员更换不得超过3人次。采购人有权书面要求中标人撤换任何不称职的监理人员。如若人员更换超过3人次，甲方有权终止合同，由此造成的甲方直接经济损失由乙方承担。</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4.3.4监理服务成果物</w:t>
      </w:r>
    </w:p>
    <w:p>
      <w:pPr>
        <w:adjustRightInd w:val="0"/>
        <w:snapToGrid w:val="0"/>
        <w:spacing w:afterLines="50"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中标人应提交的服务成果包括但不限于以下内容，且</w:t>
      </w:r>
      <w:r>
        <w:rPr>
          <w:rFonts w:hint="eastAsia" w:ascii="仿宋_GB2312" w:hAnsi="Times New Roman" w:eastAsia="仿宋_GB2312"/>
          <w:sz w:val="24"/>
          <w:szCs w:val="28"/>
        </w:rPr>
        <w:t>应在合理时间内提交。</w:t>
      </w:r>
    </w:p>
    <w:tbl>
      <w:tblPr>
        <w:tblStyle w:val="17"/>
        <w:tblW w:w="870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49"/>
        <w:gridCol w:w="755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5" w:hRule="atLeast"/>
          <w:tblHeader/>
          <w:jc w:val="center"/>
        </w:trPr>
        <w:tc>
          <w:tcPr>
            <w:tcW w:w="1149" w:type="dxa"/>
            <w:shd w:val="clear" w:color="AEAAAA" w:fill="E7E6E6"/>
            <w:noWrap/>
            <w:vAlign w:val="center"/>
          </w:tcPr>
          <w:p>
            <w:pPr>
              <w:adjustRightInd w:val="0"/>
              <w:snapToGrid w:val="0"/>
              <w:ind w:left="-69" w:leftChars="-33" w:right="-63" w:rightChars="-30"/>
              <w:jc w:val="center"/>
              <w:rPr>
                <w:rFonts w:ascii="仿宋_GB2312" w:hAnsi="宋体" w:eastAsia="仿宋_GB2312" w:cs="宋体"/>
                <w:b/>
                <w:bCs/>
                <w:color w:val="0C0C0C"/>
                <w:sz w:val="24"/>
                <w:szCs w:val="24"/>
              </w:rPr>
            </w:pPr>
            <w:r>
              <w:rPr>
                <w:rFonts w:hint="eastAsia" w:ascii="仿宋_GB2312" w:hAnsi="宋体" w:eastAsia="仿宋_GB2312" w:cs="宋体"/>
                <w:b/>
                <w:bCs/>
                <w:color w:val="0C0C0C"/>
                <w:sz w:val="24"/>
                <w:szCs w:val="24"/>
              </w:rPr>
              <w:t>序号</w:t>
            </w:r>
          </w:p>
        </w:tc>
        <w:tc>
          <w:tcPr>
            <w:tcW w:w="7553" w:type="dxa"/>
            <w:shd w:val="clear" w:color="AEAAAA" w:fill="E7E6E6"/>
            <w:noWrap/>
            <w:vAlign w:val="center"/>
          </w:tcPr>
          <w:p>
            <w:pPr>
              <w:adjustRightInd w:val="0"/>
              <w:snapToGrid w:val="0"/>
              <w:ind w:left="-69" w:leftChars="-33" w:right="-63" w:rightChars="-30"/>
              <w:jc w:val="center"/>
              <w:rPr>
                <w:rFonts w:ascii="仿宋_GB2312" w:hAnsi="宋体" w:eastAsia="仿宋_GB2312" w:cs="宋体"/>
                <w:b/>
                <w:bCs/>
                <w:color w:val="0C0C0C"/>
                <w:sz w:val="24"/>
                <w:szCs w:val="24"/>
              </w:rPr>
            </w:pPr>
            <w:r>
              <w:rPr>
                <w:rFonts w:hint="eastAsia" w:ascii="仿宋_GB2312" w:hAnsi="宋体" w:eastAsia="仿宋_GB2312" w:cs="宋体"/>
                <w:b/>
                <w:bCs/>
                <w:color w:val="0C0C0C"/>
                <w:sz w:val="24"/>
                <w:szCs w:val="24"/>
              </w:rPr>
              <w:t>文件名称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监理规划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监理细则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分包资质审核记录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设备材料报审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复检记录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需求变更确认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开（停、复、返）工令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施工组织设计或实施方案审核记录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项目进度、延长工期、人员变更审核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监理通知单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监理建议或意见（专题报告）</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监理工作联系单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监理例会或协调会会议纪要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监理备忘录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监理周报、月报或季报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监理大纲审核意见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造价变更审查、支付审批、索赔处理文件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验收、交接文件、支付证书、结算审核文件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监理工作总结报告</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软件开发监理检查记录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软件测试监理检查记录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项目试运行审批表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验收申请批复单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监理人员变更通知单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监理人员任命书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总监理工程师进度调查通知单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项目验收会监理审核意见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项目设备/材料/配件到货签收单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监理照片、音像制品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3"/>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hAnsi="等线" w:eastAsia="仿宋_GB2312" w:cs="Helvetica"/>
                <w:kern w:val="0"/>
                <w:sz w:val="24"/>
                <w:szCs w:val="24"/>
              </w:rPr>
            </w:pPr>
            <w:r>
              <w:rPr>
                <w:rFonts w:hint="eastAsia" w:ascii="仿宋_GB2312" w:hAnsi="Times New Roman" w:eastAsia="仿宋_GB2312"/>
                <w:sz w:val="24"/>
                <w:szCs w:val="28"/>
              </w:rPr>
              <w:t>其他为实现招标目的及合同目的所需提供给委托人的服务成果</w:t>
            </w:r>
          </w:p>
        </w:tc>
      </w:tr>
    </w:tbl>
    <w:p>
      <w:pPr>
        <w:adjustRightInd w:val="0"/>
        <w:snapToGrid w:val="0"/>
        <w:spacing w:line="360" w:lineRule="auto"/>
        <w:ind w:firstLine="480" w:firstLineChars="200"/>
        <w:rPr>
          <w:rFonts w:ascii="仿宋_GB2312" w:hAnsi="Times New Roman" w:eastAsia="仿宋_GB2312"/>
          <w:color w:val="000000"/>
          <w:sz w:val="24"/>
          <w:szCs w:val="28"/>
        </w:rPr>
      </w:pPr>
    </w:p>
    <w:p>
      <w:pPr>
        <w:adjustRightInd w:val="0"/>
        <w:snapToGrid w:val="0"/>
        <w:spacing w:line="360" w:lineRule="auto"/>
        <w:ind w:firstLine="480" w:firstLineChars="200"/>
        <w:outlineLvl w:val="2"/>
        <w:rPr>
          <w:rFonts w:ascii="仿宋_GB2312" w:hAnsi="Times New Roman" w:eastAsia="仿宋_GB2312"/>
          <w:b/>
          <w:bCs/>
          <w:color w:val="000000"/>
          <w:sz w:val="24"/>
          <w:szCs w:val="28"/>
        </w:rPr>
      </w:pPr>
      <w:r>
        <w:rPr>
          <w:rFonts w:hint="eastAsia" w:ascii="仿宋_GB2312" w:hAnsi="Times New Roman" w:eastAsia="仿宋_GB2312"/>
          <w:b/>
          <w:bCs/>
          <w:color w:val="000000"/>
          <w:sz w:val="24"/>
          <w:szCs w:val="28"/>
        </w:rPr>
        <w:t>4.4商务要求</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4.4.1投标要求</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4.4.1.1投标人应仔细阅读招标文件的所有内容，按招标文件的要求编制投标文件，并保证所提供全部资料的真实性，以使其投标对招标文件做出实质性响应。</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4.4.1.2投标人应承担本项目下保密义务，未经采购人许可不得将因本次项目获得的信息向第三方外传。</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4.4.1.3中标人不得以任何方式转包或分包本项目。</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4.4.2报价要求</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4.4.2.1总报价须为人民币报价，包含：人工费、通讯费、交通费、调研费、印刷费等完成本项目的所有费用。因投标人自身原因造成漏报、少报皆由其自行承担责任，采购人不再补偿。</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4.4.2.2中标人负责对湖北省传染病监测预警与应急指挥能力提升项目实施全过程的信息工程设计、实施、调试、试运行、验收、保修、运维服务等实施监理，并对项目提供技术咨询、需求分析、文档整理归档等相关服务。因此，投标人投标报价必须包含以上全部工作所需的一切费用，即投标总报价为“交钥匙”价。对在合同实施过程中可能发生的其它费用（如：工期延迟、材料涨价、人工及交通成本增加等因素），采购人概不负责。</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4.4.2.3根据项目建设总体进度的变化，采购人可能会延长工期或调整进度计划，投标人应在投标总价中充分考虑这种工期风险，在实施过程中不得藉此要求增加任何费用。</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4.4.3知识产权</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4.4.3.1中标人必须保证采购人在接受其所提供服务期的任何时候不受到知识产权或版权的纠纷，否则由此产生的任何责任完全由中标人承担。</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4.4.3.2采购人拥有针对本项目形成的所有文档全部知识产权，未经采购人许可，中标人不得擅自使用全部或部分内容。</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4.4.4合同签订</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中标人接到《中标通知书》后，持《中标通知书》与采购人签订合同，招标文件、中标人的投标文件均作为合同订立的基础。</w:t>
      </w:r>
    </w:p>
    <w:p>
      <w:pPr>
        <w:adjustRightInd w:val="0"/>
        <w:snapToGrid w:val="0"/>
        <w:spacing w:line="360" w:lineRule="auto"/>
        <w:ind w:firstLine="480"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4.4.5付款方式</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4.4.5.1合同款支付：按合同约定执行。中标人须在采购人办理付款手续之前，提供正式发票。</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4.4.5.2合同正式签订后，按照省财政厅、省卫生健康委相关规定，采购人向中标人支付合同总金额30%。</w:t>
      </w:r>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4.4.5.3监理的项目通过初步验收后，按照省财政厅、省卫生健康委相关规定，采购人向中标人支付合同总金额50%。</w:t>
      </w:r>
      <w:bookmarkStart w:id="5" w:name="_GoBack"/>
      <w:bookmarkEnd w:id="5"/>
    </w:p>
    <w:p>
      <w:pPr>
        <w:adjustRightInd w:val="0"/>
        <w:snapToGrid w:val="0"/>
        <w:spacing w:line="360" w:lineRule="auto"/>
        <w:ind w:firstLine="480" w:firstLineChars="200"/>
        <w:rPr>
          <w:rFonts w:ascii="仿宋_GB2312" w:hAnsi="Times New Roman" w:eastAsia="仿宋_GB2312"/>
          <w:color w:val="000000"/>
          <w:sz w:val="24"/>
          <w:szCs w:val="28"/>
        </w:rPr>
      </w:pPr>
      <w:r>
        <w:rPr>
          <w:rFonts w:hint="eastAsia" w:ascii="仿宋_GB2312" w:hAnsi="Times New Roman" w:eastAsia="仿宋_GB2312"/>
          <w:color w:val="000000"/>
          <w:sz w:val="24"/>
          <w:szCs w:val="28"/>
        </w:rPr>
        <w:t>4.4.5.4监理的项目通过信息化主管部门最终验收后，按照省财政厅、省卫生健康委相关规定，采购人向中标人支付合同总金额20%。</w:t>
      </w:r>
      <w:bookmarkEnd w:id="1"/>
      <w:bookmarkEnd w:id="2"/>
    </w:p>
    <w:sectPr>
      <w:footerReference r:id="rId3" w:type="default"/>
      <w:pgSz w:w="11906" w:h="16838"/>
      <w:pgMar w:top="1134" w:right="1191" w:bottom="1134" w:left="1191" w:header="851" w:footer="850"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BEFBCF-78D6-4D08-ACA8-8A9679E4D0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B912FE0-2B62-4ADF-8ED5-D9923AAEC697}"/>
  </w:font>
  <w:font w:name="等线">
    <w:panose1 w:val="02010600030101010101"/>
    <w:charset w:val="86"/>
    <w:family w:val="auto"/>
    <w:pitch w:val="default"/>
    <w:sig w:usb0="A00002BF" w:usb1="38CF7CFA" w:usb2="00000016" w:usb3="00000000" w:csb0="0004000F" w:csb1="00000000"/>
    <w:embedRegular r:id="rId3" w:fontKey="{D66FB69B-4F0D-4D8A-9DFF-641508E55E68}"/>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A00002BF" w:usb1="38CF7CFA" w:usb2="00082016" w:usb3="00000000" w:csb0="00040001" w:csb1="00000000"/>
    <w:embedRegular r:id="rId4" w:fontKey="{B3753177-BAF6-4718-9044-B2145EF6BDEC}"/>
  </w:font>
  <w:font w:name="仿宋_GB2312">
    <w:panose1 w:val="02010609030101010101"/>
    <w:charset w:val="86"/>
    <w:family w:val="modern"/>
    <w:pitch w:val="default"/>
    <w:sig w:usb0="00000001" w:usb1="080E0000" w:usb2="00000000" w:usb3="00000000" w:csb0="00040000" w:csb1="00000000"/>
    <w:embedRegular r:id="rId5" w:fontKey="{6E740252-0593-47CC-A8E4-028DD9EBD2E5}"/>
  </w:font>
  <w:font w:name="仿宋">
    <w:panose1 w:val="02010609060101010101"/>
    <w:charset w:val="86"/>
    <w:family w:val="modern"/>
    <w:pitch w:val="default"/>
    <w:sig w:usb0="800002BF" w:usb1="38CF7CFA" w:usb2="00000016" w:usb3="00000000" w:csb0="00040001" w:csb1="00000000"/>
    <w:embedRegular r:id="rId6" w:fontKey="{F2FAE9F6-BB70-480C-A2AC-FBDE1D183F6F}"/>
  </w:font>
  <w:font w:name="微软雅黑">
    <w:panose1 w:val="020B0503020204020204"/>
    <w:charset w:val="86"/>
    <w:family w:val="auto"/>
    <w:pitch w:val="default"/>
    <w:sig w:usb0="80000287" w:usb1="2ACF3C50" w:usb2="00000016" w:usb3="00000000" w:csb0="0004001F" w:csb1="00000000"/>
    <w:embedRegular r:id="rId7" w:fontKey="{554562A8-3CC4-4D50-B1D4-8A4A1B461237}"/>
  </w:font>
  <w:font w:name="Helvetica">
    <w:altName w:val="Arial"/>
    <w:panose1 w:val="020B0604020002020204"/>
    <w:charset w:val="00"/>
    <w:family w:val="swiss"/>
    <w:pitch w:val="default"/>
    <w:sig w:usb0="00000000" w:usb1="00000000" w:usb2="00000000" w:usb3="00000000" w:csb0="00000001" w:csb1="00000000"/>
    <w:embedRegular r:id="rId8" w:fontKey="{199E7EE6-E730-42E6-AC3D-DED9784544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80"/>
      <w:jc w:val="center"/>
    </w:pPr>
    <w:r>
      <w:fldChar w:fldCharType="begin"/>
    </w:r>
    <w:r>
      <w:instrText xml:space="preserve">PAGE   \* MERGEFORMAT</w:instrText>
    </w:r>
    <w:r>
      <w:fldChar w:fldCharType="separate"/>
    </w:r>
    <w:r>
      <w:rPr>
        <w:lang w:val="zh-CN"/>
      </w:rPr>
      <w:t>15</w:t>
    </w:r>
    <w:r>
      <w:rPr>
        <w:lang w:val="zh-CN"/>
      </w:rPr>
      <w:fldChar w:fldCharType="end"/>
    </w:r>
  </w:p>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pStyle w:val="28"/>
      <w:lvlText w:val="第%1章"/>
      <w:lvlJc w:val="left"/>
      <w:pPr>
        <w:tabs>
          <w:tab w:val="left" w:pos="0"/>
        </w:tabs>
        <w:ind w:left="420" w:hanging="420"/>
      </w:pPr>
      <w:rPr>
        <w:lang w:val="en-US"/>
      </w:rPr>
    </w:lvl>
    <w:lvl w:ilvl="1" w:tentative="0">
      <w:start w:val="1"/>
      <w:numFmt w:val="decimal"/>
      <w:pStyle w:val="27"/>
      <w:lvlText w:val="%1.%2"/>
      <w:lvlJc w:val="left"/>
      <w:pPr>
        <w:tabs>
          <w:tab w:val="left" w:pos="862"/>
        </w:tabs>
        <w:ind w:left="709" w:hanging="567"/>
      </w:pPr>
    </w:lvl>
    <w:lvl w:ilvl="2" w:tentative="0">
      <w:start w:val="1"/>
      <w:numFmt w:val="decimal"/>
      <w:pStyle w:val="30"/>
      <w:lvlText w:val="%1.%2.%3"/>
      <w:lvlJc w:val="left"/>
      <w:pPr>
        <w:tabs>
          <w:tab w:val="left" w:pos="1710"/>
        </w:tabs>
        <w:ind w:left="1197" w:hanging="567"/>
      </w:pPr>
    </w:lvl>
    <w:lvl w:ilvl="3" w:tentative="0">
      <w:start w:val="1"/>
      <w:numFmt w:val="decimal"/>
      <w:pStyle w:val="29"/>
      <w:lvlText w:val="2.%4"/>
      <w:lvlJc w:val="left"/>
      <w:pPr>
        <w:tabs>
          <w:tab w:val="left" w:pos="2433"/>
        </w:tabs>
        <w:ind w:left="1701" w:hanging="708"/>
      </w:pPr>
    </w:lvl>
    <w:lvl w:ilvl="4" w:tentative="0">
      <w:start w:val="1"/>
      <w:numFmt w:val="decimal"/>
      <w:lvlText w:val="%1.%2.%3.%4.%5"/>
      <w:lvlJc w:val="left"/>
      <w:pPr>
        <w:tabs>
          <w:tab w:val="left" w:pos="3501"/>
        </w:tabs>
        <w:ind w:left="2551" w:hanging="850"/>
      </w:pPr>
    </w:lvl>
    <w:lvl w:ilvl="5" w:tentative="0">
      <w:start w:val="1"/>
      <w:numFmt w:val="decimal"/>
      <w:lvlText w:val="%1.%2.%3.%4.%5.%6"/>
      <w:lvlJc w:val="left"/>
      <w:pPr>
        <w:tabs>
          <w:tab w:val="left" w:pos="4286"/>
        </w:tabs>
        <w:ind w:left="3260" w:hanging="1134"/>
      </w:pPr>
    </w:lvl>
    <w:lvl w:ilvl="6" w:tentative="0">
      <w:start w:val="1"/>
      <w:numFmt w:val="decimal"/>
      <w:lvlText w:val="%1.%2.%3.%4.%5.%6.%7"/>
      <w:lvlJc w:val="left"/>
      <w:pPr>
        <w:tabs>
          <w:tab w:val="left" w:pos="5071"/>
        </w:tabs>
        <w:ind w:left="3827" w:hanging="1276"/>
      </w:pPr>
    </w:lvl>
    <w:lvl w:ilvl="7" w:tentative="0">
      <w:start w:val="1"/>
      <w:numFmt w:val="decimal"/>
      <w:lvlText w:val="%1.%2.%3.%4.%5.%6.%7.%8"/>
      <w:lvlJc w:val="left"/>
      <w:pPr>
        <w:tabs>
          <w:tab w:val="left" w:pos="5856"/>
        </w:tabs>
        <w:ind w:left="4394" w:hanging="1418"/>
      </w:pPr>
    </w:lvl>
    <w:lvl w:ilvl="8" w:tentative="0">
      <w:start w:val="1"/>
      <w:numFmt w:val="decimal"/>
      <w:lvlText w:val="%1.%2.%3.%4.%5.%6.%7.%8.%9"/>
      <w:lvlJc w:val="left"/>
      <w:pPr>
        <w:tabs>
          <w:tab w:val="left" w:pos="6642"/>
        </w:tabs>
        <w:ind w:left="5102" w:hanging="1700"/>
      </w:pPr>
    </w:lvl>
  </w:abstractNum>
  <w:abstractNum w:abstractNumId="1">
    <w:nsid w:val="00000001"/>
    <w:multiLevelType w:val="multilevel"/>
    <w:tmpl w:val="00000001"/>
    <w:lvl w:ilvl="0" w:tentative="0">
      <w:start w:val="1"/>
      <w:numFmt w:val="decimal"/>
      <w:lvlText w:val="%1"/>
      <w:lvlJc w:val="left"/>
      <w:pPr>
        <w:ind w:left="84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multilevel"/>
    <w:tmpl w:val="00000002"/>
    <w:lvl w:ilvl="0" w:tentative="0">
      <w:start w:val="1"/>
      <w:numFmt w:val="decimal"/>
      <w:lvlText w:val="%1"/>
      <w:lvlJc w:val="left"/>
      <w:pPr>
        <w:ind w:left="84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000000"/>
    <w:rsid w:val="06BD08C8"/>
    <w:rsid w:val="08D6409A"/>
    <w:rsid w:val="1BC461C8"/>
    <w:rsid w:val="2BD34BD6"/>
    <w:rsid w:val="3D7D50F1"/>
    <w:rsid w:val="66554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qFormat/>
    <w:uiPriority w:val="9"/>
    <w:pPr>
      <w:keepNext/>
      <w:keepLines/>
      <w:spacing w:before="260" w:after="260" w:line="416" w:lineRule="auto"/>
      <w:outlineLvl w:val="2"/>
    </w:pPr>
    <w:rPr>
      <w:b/>
      <w:bCs/>
      <w:sz w:val="32"/>
      <w:szCs w:val="32"/>
    </w:rPr>
  </w:style>
  <w:style w:type="paragraph" w:styleId="5">
    <w:name w:val="heading 4"/>
    <w:basedOn w:val="1"/>
    <w:next w:val="1"/>
    <w:link w:val="33"/>
    <w:qFormat/>
    <w:uiPriority w:val="9"/>
    <w:pPr>
      <w:keepNext/>
      <w:keepLines/>
      <w:spacing w:before="280" w:after="290" w:line="376" w:lineRule="auto"/>
      <w:outlineLvl w:val="3"/>
    </w:pPr>
    <w:rPr>
      <w:rFonts w:ascii="等线 Light" w:hAnsi="等线 Light" w:eastAsia="等线 Light" w:cs="宋体"/>
      <w:b/>
      <w:bCs/>
      <w:sz w:val="28"/>
      <w:szCs w:val="28"/>
    </w:rPr>
  </w:style>
  <w:style w:type="character" w:default="1" w:styleId="18">
    <w:name w:val="Default Paragraph Font"/>
    <w:qFormat/>
    <w:uiPriority w:val="1"/>
  </w:style>
  <w:style w:type="table" w:default="1" w:styleId="17">
    <w:name w:val="Normal Table"/>
    <w:qFormat/>
    <w:uiPriority w:val="99"/>
    <w:tblPr>
      <w:tblCellMar>
        <w:top w:w="0" w:type="dxa"/>
        <w:left w:w="108" w:type="dxa"/>
        <w:bottom w:w="0" w:type="dxa"/>
        <w:right w:w="108" w:type="dxa"/>
      </w:tblCellMar>
    </w:tblPr>
  </w:style>
  <w:style w:type="paragraph" w:styleId="6">
    <w:name w:val="Normal Indent"/>
    <w:basedOn w:val="1"/>
    <w:link w:val="40"/>
    <w:qFormat/>
    <w:uiPriority w:val="0"/>
    <w:pPr>
      <w:ind w:firstLine="420"/>
    </w:pPr>
    <w:rPr>
      <w:szCs w:val="24"/>
    </w:rPr>
  </w:style>
  <w:style w:type="paragraph" w:styleId="7">
    <w:name w:val="Document Map"/>
    <w:basedOn w:val="1"/>
    <w:link w:val="41"/>
    <w:qFormat/>
    <w:uiPriority w:val="99"/>
    <w:rPr>
      <w:rFonts w:ascii="宋体"/>
      <w:sz w:val="18"/>
      <w:szCs w:val="18"/>
    </w:rPr>
  </w:style>
  <w:style w:type="paragraph" w:styleId="8">
    <w:name w:val="annotation text"/>
    <w:basedOn w:val="1"/>
    <w:link w:val="36"/>
    <w:qFormat/>
    <w:uiPriority w:val="99"/>
    <w:pPr>
      <w:jc w:val="left"/>
    </w:pPr>
  </w:style>
  <w:style w:type="paragraph" w:styleId="9">
    <w:name w:val="Body Text"/>
    <w:basedOn w:val="1"/>
    <w:link w:val="32"/>
    <w:qFormat/>
    <w:uiPriority w:val="99"/>
    <w:pPr>
      <w:spacing w:after="120"/>
    </w:pPr>
  </w:style>
  <w:style w:type="paragraph" w:styleId="10">
    <w:name w:val="Plain Text"/>
    <w:basedOn w:val="1"/>
    <w:link w:val="35"/>
    <w:qFormat/>
    <w:uiPriority w:val="0"/>
    <w:rPr>
      <w:rFonts w:ascii="宋体" w:hAnsi="Courier New" w:cs="Courier New"/>
      <w:szCs w:val="21"/>
    </w:rPr>
  </w:style>
  <w:style w:type="paragraph" w:styleId="11">
    <w:name w:val="Date"/>
    <w:basedOn w:val="1"/>
    <w:next w:val="1"/>
    <w:link w:val="34"/>
    <w:qFormat/>
    <w:uiPriority w:val="99"/>
    <w:pPr>
      <w:ind w:left="100" w:leftChars="2500"/>
    </w:pPr>
  </w:style>
  <w:style w:type="paragraph" w:styleId="12">
    <w:name w:val="Balloon Text"/>
    <w:basedOn w:val="1"/>
    <w:link w:val="25"/>
    <w:qFormat/>
    <w:uiPriority w:val="99"/>
    <w:rPr>
      <w:sz w:val="18"/>
      <w:szCs w:val="18"/>
    </w:rPr>
  </w:style>
  <w:style w:type="paragraph" w:styleId="13">
    <w:name w:val="footer"/>
    <w:basedOn w:val="1"/>
    <w:link w:val="21"/>
    <w:qFormat/>
    <w:uiPriority w:val="99"/>
    <w:pPr>
      <w:tabs>
        <w:tab w:val="center" w:pos="4153"/>
        <w:tab w:val="right" w:pos="8306"/>
      </w:tabs>
      <w:snapToGrid w:val="0"/>
      <w:jc w:val="left"/>
    </w:pPr>
    <w:rPr>
      <w:sz w:val="18"/>
      <w:szCs w:val="18"/>
    </w:rPr>
  </w:style>
  <w:style w:type="paragraph" w:styleId="14">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6">
    <w:name w:val="annotation subject"/>
    <w:basedOn w:val="8"/>
    <w:next w:val="8"/>
    <w:link w:val="37"/>
    <w:qFormat/>
    <w:uiPriority w:val="99"/>
    <w:rPr>
      <w:b/>
      <w:bCs/>
    </w:rPr>
  </w:style>
  <w:style w:type="character" w:styleId="19">
    <w:name w:val="annotation reference"/>
    <w:basedOn w:val="18"/>
    <w:qFormat/>
    <w:uiPriority w:val="99"/>
    <w:rPr>
      <w:sz w:val="21"/>
      <w:szCs w:val="21"/>
    </w:rPr>
  </w:style>
  <w:style w:type="character" w:customStyle="1" w:styleId="20">
    <w:name w:val="页眉 Char"/>
    <w:basedOn w:val="18"/>
    <w:link w:val="14"/>
    <w:qFormat/>
    <w:uiPriority w:val="99"/>
    <w:rPr>
      <w:sz w:val="18"/>
      <w:szCs w:val="18"/>
    </w:rPr>
  </w:style>
  <w:style w:type="character" w:customStyle="1" w:styleId="21">
    <w:name w:val="页脚 Char"/>
    <w:basedOn w:val="18"/>
    <w:link w:val="13"/>
    <w:qFormat/>
    <w:uiPriority w:val="99"/>
    <w:rPr>
      <w:rFonts w:ascii="Calibri" w:hAnsi="Calibri" w:eastAsia="宋体" w:cs="Times New Roman"/>
      <w:sz w:val="18"/>
      <w:szCs w:val="18"/>
    </w:rPr>
  </w:style>
  <w:style w:type="character" w:customStyle="1" w:styleId="22">
    <w:name w:val="标题 2 Char"/>
    <w:basedOn w:val="18"/>
    <w:link w:val="3"/>
    <w:qFormat/>
    <w:uiPriority w:val="0"/>
    <w:rPr>
      <w:rFonts w:ascii="Cambria" w:hAnsi="Cambria" w:eastAsia="宋体" w:cs="Times New Roman"/>
      <w:b/>
      <w:bCs/>
      <w:kern w:val="0"/>
      <w:sz w:val="32"/>
      <w:szCs w:val="32"/>
    </w:rPr>
  </w:style>
  <w:style w:type="paragraph" w:styleId="23">
    <w:name w:val="List Paragraph"/>
    <w:basedOn w:val="1"/>
    <w:link w:val="24"/>
    <w:qFormat/>
    <w:uiPriority w:val="0"/>
    <w:pPr>
      <w:ind w:firstLine="420" w:firstLineChars="200"/>
    </w:pPr>
  </w:style>
  <w:style w:type="character" w:customStyle="1" w:styleId="24">
    <w:name w:val="列出段落 Char"/>
    <w:link w:val="23"/>
    <w:qFormat/>
    <w:uiPriority w:val="0"/>
    <w:rPr>
      <w:rFonts w:ascii="Calibri" w:hAnsi="Calibri" w:eastAsia="宋体" w:cs="Times New Roman"/>
    </w:rPr>
  </w:style>
  <w:style w:type="character" w:customStyle="1" w:styleId="25">
    <w:name w:val="批注框文本 Char"/>
    <w:basedOn w:val="18"/>
    <w:link w:val="12"/>
    <w:qFormat/>
    <w:uiPriority w:val="99"/>
    <w:rPr>
      <w:rFonts w:ascii="Calibri" w:hAnsi="Calibri" w:eastAsia="宋体" w:cs="Times New Roman"/>
      <w:sz w:val="18"/>
      <w:szCs w:val="18"/>
    </w:rPr>
  </w:style>
  <w:style w:type="character" w:customStyle="1" w:styleId="26">
    <w:name w:val="标题 3 Char"/>
    <w:basedOn w:val="18"/>
    <w:link w:val="4"/>
    <w:qFormat/>
    <w:uiPriority w:val="9"/>
    <w:rPr>
      <w:rFonts w:ascii="Calibri" w:hAnsi="Calibri" w:eastAsia="宋体" w:cs="Times New Roman"/>
      <w:b/>
      <w:bCs/>
      <w:sz w:val="32"/>
      <w:szCs w:val="32"/>
    </w:rPr>
  </w:style>
  <w:style w:type="paragraph" w:customStyle="1" w:styleId="27">
    <w:name w:val="A标题2"/>
    <w:basedOn w:val="3"/>
    <w:qFormat/>
    <w:uiPriority w:val="0"/>
    <w:pPr>
      <w:numPr>
        <w:ilvl w:val="1"/>
        <w:numId w:val="1"/>
      </w:numPr>
      <w:tabs>
        <w:tab w:val="clear" w:pos="862"/>
      </w:tabs>
      <w:snapToGrid w:val="0"/>
      <w:spacing w:beforeLines="50" w:afterLines="50" w:line="240" w:lineRule="auto"/>
      <w:ind w:left="1549" w:hanging="420"/>
    </w:pPr>
    <w:rPr>
      <w:rFonts w:ascii="宋体" w:hAnsi="宋体"/>
      <w:color w:val="000000"/>
      <w:kern w:val="44"/>
      <w:sz w:val="28"/>
    </w:rPr>
  </w:style>
  <w:style w:type="paragraph" w:customStyle="1" w:styleId="28">
    <w:name w:val="A标题1"/>
    <w:basedOn w:val="2"/>
    <w:next w:val="9"/>
    <w:qFormat/>
    <w:uiPriority w:val="0"/>
    <w:pPr>
      <w:keepNext w:val="0"/>
      <w:keepLines w:val="0"/>
      <w:pageBreakBefore/>
      <w:numPr>
        <w:ilvl w:val="0"/>
        <w:numId w:val="1"/>
      </w:numPr>
      <w:tabs>
        <w:tab w:val="clear" w:pos="0"/>
      </w:tabs>
      <w:spacing w:beforeLines="170" w:afterLines="170" w:line="240" w:lineRule="auto"/>
      <w:ind w:left="840" w:firstLine="0"/>
      <w:jc w:val="center"/>
    </w:pPr>
    <w:rPr>
      <w:rFonts w:ascii="Times New Roman" w:hAnsi="Times New Roman" w:eastAsia="黑体"/>
      <w:bCs w:val="0"/>
    </w:rPr>
  </w:style>
  <w:style w:type="paragraph" w:customStyle="1" w:styleId="29">
    <w:name w:val="A标题4"/>
    <w:basedOn w:val="5"/>
    <w:qFormat/>
    <w:uiPriority w:val="0"/>
    <w:pPr>
      <w:numPr>
        <w:ilvl w:val="3"/>
        <w:numId w:val="1"/>
      </w:numPr>
      <w:tabs>
        <w:tab w:val="clear" w:pos="2433"/>
      </w:tabs>
      <w:spacing w:beforeLines="50" w:afterLines="50" w:line="240" w:lineRule="auto"/>
      <w:ind w:left="0" w:right="210" w:rightChars="100" w:firstLine="0"/>
    </w:pPr>
    <w:rPr>
      <w:rFonts w:ascii="Times New Roman" w:hAnsi="Times New Roman" w:eastAsia="黑体" w:cs="Times New Roman"/>
      <w:b w:val="0"/>
      <w:color w:val="000000"/>
      <w:sz w:val="24"/>
      <w:szCs w:val="44"/>
    </w:rPr>
  </w:style>
  <w:style w:type="paragraph" w:customStyle="1" w:styleId="30">
    <w:name w:val="A标题3"/>
    <w:basedOn w:val="4"/>
    <w:qFormat/>
    <w:uiPriority w:val="0"/>
    <w:pPr>
      <w:numPr>
        <w:ilvl w:val="2"/>
        <w:numId w:val="1"/>
      </w:numPr>
      <w:tabs>
        <w:tab w:val="clear" w:pos="1710"/>
      </w:tabs>
      <w:spacing w:beforeLines="50" w:afterLines="50" w:line="240" w:lineRule="auto"/>
      <w:ind w:left="1617" w:right="210" w:rightChars="100" w:firstLine="0"/>
    </w:pPr>
    <w:rPr>
      <w:rFonts w:ascii="黑体" w:hAnsi="宋体" w:eastAsia="黑体"/>
      <w:bCs w:val="0"/>
      <w:color w:val="000000"/>
      <w:kern w:val="44"/>
      <w:sz w:val="28"/>
      <w:szCs w:val="24"/>
    </w:rPr>
  </w:style>
  <w:style w:type="character" w:customStyle="1" w:styleId="31">
    <w:name w:val="标题 1 Char"/>
    <w:basedOn w:val="18"/>
    <w:link w:val="2"/>
    <w:qFormat/>
    <w:uiPriority w:val="9"/>
    <w:rPr>
      <w:rFonts w:ascii="Calibri" w:hAnsi="Calibri" w:eastAsia="宋体" w:cs="Times New Roman"/>
      <w:b/>
      <w:bCs/>
      <w:kern w:val="44"/>
      <w:sz w:val="44"/>
      <w:szCs w:val="44"/>
    </w:rPr>
  </w:style>
  <w:style w:type="character" w:customStyle="1" w:styleId="32">
    <w:name w:val="正文文本 Char"/>
    <w:basedOn w:val="18"/>
    <w:link w:val="9"/>
    <w:qFormat/>
    <w:uiPriority w:val="99"/>
    <w:rPr>
      <w:rFonts w:ascii="Calibri" w:hAnsi="Calibri" w:eastAsia="宋体" w:cs="Times New Roman"/>
    </w:rPr>
  </w:style>
  <w:style w:type="character" w:customStyle="1" w:styleId="33">
    <w:name w:val="标题 4 Char"/>
    <w:basedOn w:val="18"/>
    <w:link w:val="5"/>
    <w:qFormat/>
    <w:uiPriority w:val="9"/>
    <w:rPr>
      <w:rFonts w:ascii="等线 Light" w:hAnsi="等线 Light" w:eastAsia="等线 Light" w:cs="宋体"/>
      <w:b/>
      <w:bCs/>
      <w:sz w:val="28"/>
      <w:szCs w:val="28"/>
    </w:rPr>
  </w:style>
  <w:style w:type="character" w:customStyle="1" w:styleId="34">
    <w:name w:val="日期 Char"/>
    <w:basedOn w:val="18"/>
    <w:link w:val="11"/>
    <w:qFormat/>
    <w:uiPriority w:val="99"/>
    <w:rPr>
      <w:rFonts w:ascii="Calibri" w:hAnsi="Calibri" w:eastAsia="宋体" w:cs="Times New Roman"/>
    </w:rPr>
  </w:style>
  <w:style w:type="character" w:customStyle="1" w:styleId="35">
    <w:name w:val="纯文本 Char"/>
    <w:basedOn w:val="18"/>
    <w:link w:val="10"/>
    <w:qFormat/>
    <w:uiPriority w:val="0"/>
    <w:rPr>
      <w:rFonts w:ascii="宋体" w:hAnsi="Courier New" w:eastAsia="宋体" w:cs="Courier New"/>
      <w:szCs w:val="21"/>
    </w:rPr>
  </w:style>
  <w:style w:type="character" w:customStyle="1" w:styleId="36">
    <w:name w:val="批注文字 Char"/>
    <w:basedOn w:val="18"/>
    <w:link w:val="8"/>
    <w:qFormat/>
    <w:uiPriority w:val="99"/>
    <w:rPr>
      <w:rFonts w:ascii="Calibri" w:hAnsi="Calibri" w:eastAsia="宋体" w:cs="Times New Roman"/>
    </w:rPr>
  </w:style>
  <w:style w:type="character" w:customStyle="1" w:styleId="37">
    <w:name w:val="批注主题 Char"/>
    <w:basedOn w:val="36"/>
    <w:link w:val="16"/>
    <w:qFormat/>
    <w:uiPriority w:val="99"/>
    <w:rPr>
      <w:rFonts w:ascii="Calibri" w:hAnsi="Calibri" w:eastAsia="宋体" w:cs="Times New Roman"/>
      <w:b/>
      <w:bCs/>
    </w:rPr>
  </w:style>
  <w:style w:type="paragraph" w:customStyle="1" w:styleId="38">
    <w:name w:val="样式 正文缩进 + 首行缩进:  2 字符"/>
    <w:basedOn w:val="6"/>
    <w:qFormat/>
    <w:uiPriority w:val="0"/>
    <w:pPr>
      <w:spacing w:line="360" w:lineRule="auto"/>
      <w:ind w:firstLine="200" w:firstLineChars="200"/>
    </w:pPr>
    <w:rPr>
      <w:rFonts w:cs="宋体"/>
      <w:sz w:val="24"/>
      <w:szCs w:val="20"/>
    </w:rPr>
  </w:style>
  <w:style w:type="paragraph" w:customStyle="1" w:styleId="39">
    <w:name w:val="列出段落1"/>
    <w:basedOn w:val="1"/>
    <w:qFormat/>
    <w:uiPriority w:val="0"/>
    <w:pPr>
      <w:spacing w:line="360" w:lineRule="auto"/>
      <w:ind w:firstLine="420" w:firstLineChars="200"/>
    </w:pPr>
    <w:rPr>
      <w:rFonts w:ascii="宋体" w:hAnsi="华文细黑"/>
      <w:color w:val="000000"/>
      <w:szCs w:val="24"/>
    </w:rPr>
  </w:style>
  <w:style w:type="character" w:customStyle="1" w:styleId="40">
    <w:name w:val="正文缩进 Char"/>
    <w:link w:val="6"/>
    <w:qFormat/>
    <w:uiPriority w:val="0"/>
    <w:rPr>
      <w:rFonts w:ascii="Calibri" w:hAnsi="Calibri" w:eastAsia="宋体" w:cs="Times New Roman"/>
      <w:szCs w:val="24"/>
    </w:rPr>
  </w:style>
  <w:style w:type="character" w:customStyle="1" w:styleId="41">
    <w:name w:val="文档结构图 Char"/>
    <w:basedOn w:val="18"/>
    <w:link w:val="7"/>
    <w:qFormat/>
    <w:uiPriority w:val="99"/>
    <w:rPr>
      <w:rFonts w:ascii="宋体"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12597</Words>
  <Characters>13155</Characters>
  <Paragraphs>565</Paragraphs>
  <TotalTime>40</TotalTime>
  <ScaleCrop>false</ScaleCrop>
  <LinksUpToDate>false</LinksUpToDate>
  <CharactersWithSpaces>13167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2021-01-11T10:17:00Z</dcterms:created>
  <dc:creator>孙俊菲</dc:creator>
  <cp:lastModifiedBy>晚安</cp:lastModifiedBy>
  <cp:lastPrinted>2021-01-11T10:22:00Z</cp:lastPrinted>
  <dcterms:modified xsi:type="dcterms:W3CDTF">2024-07-15T02:48:27Z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FBFE7A817F0144C7838006BF0AFCE7A3_13</vt:lpwstr>
  </property>
</Properties>
</file>