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widowControl/>
        <w:spacing w:before="75"/>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助理全科培训招录及过程管理信息系统</w:t>
      </w:r>
    </w:p>
    <w:p>
      <w:pPr>
        <w:widowControl/>
        <w:spacing w:before="75"/>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运维采购需求</w:t>
      </w:r>
    </w:p>
    <w:p>
      <w:pPr>
        <w:widowControl/>
        <w:spacing w:before="75"/>
        <w:jc w:val="center"/>
        <w:outlineLvl w:val="0"/>
        <w:rPr>
          <w:rFonts w:hint="eastAsia" w:ascii="微软雅黑" w:hAnsi="微软雅黑" w:eastAsia="微软雅黑" w:cs="宋体"/>
          <w:kern w:val="36"/>
          <w:sz w:val="36"/>
          <w:szCs w:val="36"/>
        </w:rPr>
      </w:pPr>
    </w:p>
    <w:p>
      <w:pPr>
        <w:pStyle w:val="5"/>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仿宋_GB2312" w:hAnsi="微软雅黑" w:eastAsia="仿宋_GB2312"/>
          <w:sz w:val="32"/>
          <w:szCs w:val="32"/>
        </w:rPr>
        <w:t>为进一步做好2024年度省助理全科培训招录及过程管理工作，根据采购工作有关要求，遵循公平、公正、公开的原则，湖北省卫生健康人才交流发展中心（以下简称人才中心)现就信息系统运维服务进行采购，欢迎符合条件的供应商参与报价。</w:t>
      </w:r>
    </w:p>
    <w:p>
      <w:pPr>
        <w:pStyle w:val="5"/>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黑体" w:hAnsi="黑体" w:eastAsia="黑体"/>
          <w:sz w:val="32"/>
          <w:szCs w:val="32"/>
        </w:rPr>
        <w:t>一、项目名称：</w:t>
      </w:r>
      <w:r>
        <w:rPr>
          <w:rFonts w:hint="eastAsia" w:ascii="仿宋_GB2312" w:hAnsi="微软雅黑" w:eastAsia="仿宋_GB2312"/>
          <w:sz w:val="32"/>
          <w:szCs w:val="32"/>
        </w:rPr>
        <w:t>湖北省卫生健康人才交流发展中心2</w:t>
      </w:r>
      <w:r>
        <w:rPr>
          <w:rFonts w:ascii="仿宋_GB2312" w:hAnsi="微软雅黑" w:eastAsia="仿宋_GB2312"/>
          <w:sz w:val="32"/>
          <w:szCs w:val="32"/>
        </w:rPr>
        <w:t>02</w:t>
      </w:r>
      <w:r>
        <w:rPr>
          <w:rFonts w:hint="eastAsia" w:ascii="仿宋_GB2312" w:hAnsi="微软雅黑" w:eastAsia="仿宋_GB2312"/>
          <w:sz w:val="32"/>
          <w:szCs w:val="32"/>
        </w:rPr>
        <w:t>4年度助理全科培训招录及过程管理运维服务采购项目</w:t>
      </w:r>
    </w:p>
    <w:p>
      <w:pPr>
        <w:pStyle w:val="5"/>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黑体" w:hAnsi="黑体" w:eastAsia="黑体"/>
          <w:sz w:val="32"/>
          <w:szCs w:val="32"/>
        </w:rPr>
        <w:t>二、预算金额：</w:t>
      </w:r>
      <w:r>
        <w:rPr>
          <w:rFonts w:hint="eastAsia" w:eastAsia="黑体"/>
          <w:sz w:val="32"/>
          <w:szCs w:val="32"/>
          <w:lang w:val="en-US" w:eastAsia="zh-CN"/>
        </w:rPr>
        <w:t>10</w:t>
      </w:r>
      <w:bookmarkStart w:id="0" w:name="_GoBack"/>
      <w:bookmarkEnd w:id="0"/>
      <w:r>
        <w:rPr>
          <w:rFonts w:hint="eastAsia" w:ascii="仿宋_GB2312" w:hAnsi="微软雅黑" w:eastAsia="仿宋_GB2312"/>
          <w:sz w:val="32"/>
          <w:szCs w:val="32"/>
        </w:rPr>
        <w:t>万元</w:t>
      </w:r>
    </w:p>
    <w:p>
      <w:pPr>
        <w:pStyle w:val="5"/>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黑体" w:hAnsi="黑体" w:eastAsia="黑体"/>
          <w:sz w:val="32"/>
          <w:szCs w:val="32"/>
        </w:rPr>
        <w:t>三、项目需求</w:t>
      </w:r>
    </w:p>
    <w:p>
      <w:pPr>
        <w:pStyle w:val="5"/>
        <w:wordWrap w:val="0"/>
        <w:spacing w:before="0" w:beforeAutospacing="0" w:after="0" w:afterAutospacing="0" w:line="600" w:lineRule="atLeast"/>
        <w:ind w:firstLine="640" w:firstLineChars="200"/>
        <w:rPr>
          <w:rFonts w:hint="eastAsia" w:ascii="微软雅黑" w:hAnsi="微软雅黑" w:eastAsia="微软雅黑"/>
          <w:sz w:val="23"/>
          <w:szCs w:val="23"/>
        </w:rPr>
      </w:pPr>
      <w:r>
        <w:rPr>
          <w:rFonts w:hint="eastAsia" w:ascii="楷体" w:hAnsi="楷体" w:eastAsia="楷体"/>
          <w:sz w:val="32"/>
          <w:szCs w:val="32"/>
        </w:rPr>
        <w:t>（一）主要内容</w:t>
      </w:r>
    </w:p>
    <w:p>
      <w:pPr>
        <w:ind w:firstLine="640" w:firstLineChars="200"/>
        <w:rPr>
          <w:rFonts w:hint="eastAsia" w:ascii="仿宋_GB2312" w:hAnsi="微软雅黑" w:eastAsia="仿宋_GB2312" w:cs="宋体"/>
          <w:kern w:val="0"/>
          <w:sz w:val="32"/>
          <w:szCs w:val="32"/>
        </w:rPr>
      </w:pPr>
      <w:r>
        <w:rPr>
          <w:rFonts w:hint="eastAsia" w:ascii="仿宋_GB2312" w:hAnsi="微软雅黑" w:eastAsia="仿宋_GB2312"/>
          <w:sz w:val="32"/>
          <w:szCs w:val="32"/>
        </w:rPr>
        <w:t>1</w:t>
      </w:r>
      <w:r>
        <w:rPr>
          <w:rFonts w:hint="eastAsia" w:ascii="仿宋_GB2312" w:hAnsi="微软雅黑" w:eastAsia="仿宋_GB2312" w:cs="宋体"/>
          <w:kern w:val="0"/>
          <w:sz w:val="32"/>
          <w:szCs w:val="32"/>
        </w:rPr>
        <w:t>.完成20</w:t>
      </w:r>
      <w:r>
        <w:rPr>
          <w:rFonts w:ascii="仿宋_GB2312" w:hAnsi="微软雅黑" w:eastAsia="仿宋_GB2312" w:cs="宋体"/>
          <w:kern w:val="0"/>
          <w:sz w:val="32"/>
          <w:szCs w:val="32"/>
        </w:rPr>
        <w:t>2</w:t>
      </w:r>
      <w:r>
        <w:rPr>
          <w:rFonts w:hint="eastAsia" w:ascii="仿宋_GB2312" w:hAnsi="微软雅黑" w:eastAsia="仿宋_GB2312" w:cs="宋体"/>
          <w:kern w:val="0"/>
          <w:sz w:val="32"/>
          <w:szCs w:val="32"/>
        </w:rPr>
        <w:t>4年度助理全科医师招录，上一年度助理全科医师的培训、考核系统支撑工作。</w:t>
      </w:r>
    </w:p>
    <w:p>
      <w:pPr>
        <w:ind w:firstLine="640" w:firstLineChars="200"/>
        <w:rPr>
          <w:rFonts w:hint="eastAsia" w:ascii="仿宋_GB2312" w:hAnsi="微软雅黑" w:eastAsia="仿宋_GB2312" w:cs="宋体"/>
          <w:kern w:val="0"/>
          <w:sz w:val="32"/>
          <w:szCs w:val="32"/>
        </w:rPr>
      </w:pPr>
      <w:r>
        <w:rPr>
          <w:rFonts w:ascii="仿宋_GB2312" w:hAnsi="微软雅黑" w:eastAsia="仿宋_GB2312" w:cs="宋体"/>
          <w:kern w:val="0"/>
          <w:sz w:val="32"/>
          <w:szCs w:val="32"/>
        </w:rPr>
        <w:t>2</w:t>
      </w:r>
      <w:r>
        <w:rPr>
          <w:rFonts w:hint="eastAsia" w:ascii="仿宋_GB2312" w:hAnsi="微软雅黑" w:eastAsia="仿宋_GB2312" w:cs="宋体"/>
          <w:kern w:val="0"/>
          <w:sz w:val="32"/>
          <w:szCs w:val="32"/>
        </w:rPr>
        <w:t>.新增学历证和执业医师资格证字段；历史数据处理。</w:t>
      </w:r>
    </w:p>
    <w:p>
      <w:pPr>
        <w:ind w:firstLine="640" w:firstLineChars="200"/>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3</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新增结业考试人员申请、审核、成绩导入功能流程。</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ascii="仿宋_GB2312" w:hAnsi="微软雅黑" w:eastAsia="仿宋_GB2312"/>
          <w:sz w:val="32"/>
          <w:szCs w:val="32"/>
        </w:rPr>
        <w:t>4.</w:t>
      </w:r>
      <w:r>
        <w:rPr>
          <w:rFonts w:hint="eastAsia" w:ascii="仿宋_GB2312" w:hAnsi="微软雅黑" w:eastAsia="仿宋_GB2312"/>
          <w:sz w:val="32"/>
          <w:szCs w:val="32"/>
        </w:rPr>
        <w:t>日常系统运维、用户问题解答工作。</w:t>
      </w:r>
    </w:p>
    <w:p>
      <w:pPr>
        <w:pStyle w:val="5"/>
        <w:wordWrap w:val="0"/>
        <w:spacing w:before="0" w:beforeAutospacing="0" w:after="0" w:afterAutospacing="0" w:line="600" w:lineRule="atLeast"/>
        <w:ind w:firstLine="640" w:firstLineChars="200"/>
        <w:rPr>
          <w:rFonts w:hint="eastAsia" w:ascii="微软雅黑" w:hAnsi="微软雅黑" w:eastAsia="微软雅黑"/>
          <w:sz w:val="23"/>
          <w:szCs w:val="23"/>
        </w:rPr>
      </w:pPr>
      <w:r>
        <w:rPr>
          <w:rFonts w:hint="eastAsia" w:ascii="楷体" w:hAnsi="楷体" w:eastAsia="楷体"/>
          <w:sz w:val="32"/>
          <w:szCs w:val="32"/>
        </w:rPr>
        <w:t>（二）运维清单</w:t>
      </w:r>
    </w:p>
    <w:tbl>
      <w:tblPr>
        <w:tblStyle w:val="6"/>
        <w:tblW w:w="5724" w:type="pct"/>
        <w:tblInd w:w="-572" w:type="dxa"/>
        <w:tblLayout w:type="fixed"/>
        <w:tblCellMar>
          <w:top w:w="0" w:type="dxa"/>
          <w:left w:w="108" w:type="dxa"/>
          <w:bottom w:w="0" w:type="dxa"/>
          <w:right w:w="108" w:type="dxa"/>
        </w:tblCellMar>
      </w:tblPr>
      <w:tblGrid>
        <w:gridCol w:w="1811"/>
        <w:gridCol w:w="1684"/>
        <w:gridCol w:w="6261"/>
      </w:tblGrid>
      <w:tr>
        <w:tblPrEx>
          <w:tblCellMar>
            <w:top w:w="0" w:type="dxa"/>
            <w:left w:w="108" w:type="dxa"/>
            <w:bottom w:w="0" w:type="dxa"/>
            <w:right w:w="108" w:type="dxa"/>
          </w:tblCellMar>
        </w:tblPrEx>
        <w:trPr>
          <w:trHeight w:val="288" w:hRule="atLeast"/>
        </w:trPr>
        <w:tc>
          <w:tcPr>
            <w:tcW w:w="92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运维项目</w:t>
            </w:r>
          </w:p>
        </w:tc>
        <w:tc>
          <w:tcPr>
            <w:tcW w:w="863" w:type="pct"/>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主要内容</w:t>
            </w:r>
          </w:p>
        </w:tc>
        <w:tc>
          <w:tcPr>
            <w:tcW w:w="3209"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备 注</w:t>
            </w:r>
          </w:p>
        </w:tc>
      </w:tr>
      <w:tr>
        <w:tblPrEx>
          <w:tblCellMar>
            <w:top w:w="0" w:type="dxa"/>
            <w:left w:w="108" w:type="dxa"/>
            <w:bottom w:w="0" w:type="dxa"/>
            <w:right w:w="108" w:type="dxa"/>
          </w:tblCellMar>
        </w:tblPrEx>
        <w:trPr>
          <w:trHeight w:val="288" w:hRule="atLeast"/>
        </w:trPr>
        <w:tc>
          <w:tcPr>
            <w:tcW w:w="928" w:type="pct"/>
            <w:vMerge w:val="restart"/>
            <w:tcBorders>
              <w:top w:val="nil"/>
              <w:left w:val="single" w:color="auto" w:sz="4" w:space="0"/>
              <w:bottom w:val="nil"/>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应用系统运维</w:t>
            </w: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运行支撑服务运维</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对系统的中间件、接口进行维护。</w:t>
            </w:r>
          </w:p>
        </w:tc>
      </w:tr>
      <w:tr>
        <w:tblPrEx>
          <w:tblCellMar>
            <w:top w:w="0" w:type="dxa"/>
            <w:left w:w="108" w:type="dxa"/>
            <w:bottom w:w="0" w:type="dxa"/>
            <w:right w:w="108" w:type="dxa"/>
          </w:tblCellMar>
        </w:tblPrEx>
        <w:trPr>
          <w:trHeight w:val="1440" w:hRule="atLeast"/>
        </w:trPr>
        <w:tc>
          <w:tcPr>
            <w:tcW w:w="928" w:type="pct"/>
            <w:vMerge w:val="continue"/>
            <w:tcBorders>
              <w:top w:val="nil"/>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2"/>
              </w:rPr>
            </w:pP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系统功能调整、优化及二次开发</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1.招录管理年度数据维护和优化</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2.基地管理 - 科室信息管理科室同时容纳人数最大数值功能优化</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3.结业申请功能调整为可配置开关优化</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4.学员报道流程流程优化</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5.人员管理 - 学员报道培训协议必选项判断</w:t>
            </w:r>
          </w:p>
        </w:tc>
      </w:tr>
      <w:tr>
        <w:tblPrEx>
          <w:tblCellMar>
            <w:top w:w="0" w:type="dxa"/>
            <w:left w:w="108" w:type="dxa"/>
            <w:bottom w:w="0" w:type="dxa"/>
            <w:right w:w="108" w:type="dxa"/>
          </w:tblCellMar>
        </w:tblPrEx>
        <w:trPr>
          <w:trHeight w:val="576" w:hRule="atLeast"/>
        </w:trPr>
        <w:tc>
          <w:tcPr>
            <w:tcW w:w="928"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数据运维</w:t>
            </w: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数据检查、校核及数据库日常管理</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数据库系统的物理环境、软件环境开展健康检查等日常检查；对系统自动入库的数据就行检查；</w:t>
            </w:r>
          </w:p>
        </w:tc>
      </w:tr>
      <w:tr>
        <w:tblPrEx>
          <w:tblCellMar>
            <w:top w:w="0" w:type="dxa"/>
            <w:left w:w="108" w:type="dxa"/>
            <w:bottom w:w="0" w:type="dxa"/>
            <w:right w:w="108" w:type="dxa"/>
          </w:tblCellMar>
        </w:tblPrEx>
        <w:trPr>
          <w:trHeight w:val="1728" w:hRule="atLeast"/>
        </w:trPr>
        <w:tc>
          <w:tcPr>
            <w:tcW w:w="928" w:type="pct"/>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2"/>
              </w:rPr>
            </w:pP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备份管理及灾难恢复</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对入库数据、软件代码进行周期性的风险评估和备份工作：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（1）每天对所有业务数据进行备份；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（2）备份数据存放在不同服务器中；</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（3）依据业务数据量制定数据迁移策略，定期迁移历史数据。做好数据、系统、环境等灾难恢复的预案和准备，及时进行灾难恢复需求的分析，包括支撑服务恢复、数据库恢复、环境、软件应用恢复等。</w:t>
            </w:r>
          </w:p>
        </w:tc>
      </w:tr>
      <w:tr>
        <w:tblPrEx>
          <w:tblCellMar>
            <w:top w:w="0" w:type="dxa"/>
            <w:left w:w="108" w:type="dxa"/>
            <w:bottom w:w="0" w:type="dxa"/>
            <w:right w:w="108" w:type="dxa"/>
          </w:tblCellMar>
        </w:tblPrEx>
        <w:trPr>
          <w:trHeight w:val="288" w:hRule="atLeast"/>
        </w:trPr>
        <w:tc>
          <w:tcPr>
            <w:tcW w:w="928" w:type="pct"/>
            <w:tcBorders>
              <w:top w:val="nil"/>
              <w:left w:val="single" w:color="auto" w:sz="4" w:space="0"/>
              <w:bottom w:val="nil"/>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安全运维</w:t>
            </w: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安全检查</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服务器安全巡检、漏洞扫描、安全配置优化、服务器安全加固。</w:t>
            </w:r>
          </w:p>
        </w:tc>
      </w:tr>
      <w:tr>
        <w:tblPrEx>
          <w:tblCellMar>
            <w:top w:w="0" w:type="dxa"/>
            <w:left w:w="108" w:type="dxa"/>
            <w:bottom w:w="0" w:type="dxa"/>
            <w:right w:w="108" w:type="dxa"/>
          </w:tblCellMar>
        </w:tblPrEx>
        <w:trPr>
          <w:trHeight w:val="576" w:hRule="atLeast"/>
        </w:trPr>
        <w:tc>
          <w:tcPr>
            <w:tcW w:w="928"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运行环境巡检</w:t>
            </w: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主机巡检</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定期检查服务器的运行情况及操作系统、数据库是否运行正常、主机的资源利用情况。</w:t>
            </w:r>
          </w:p>
        </w:tc>
      </w:tr>
      <w:tr>
        <w:tblPrEx>
          <w:tblCellMar>
            <w:top w:w="0" w:type="dxa"/>
            <w:left w:w="108" w:type="dxa"/>
            <w:bottom w:w="0" w:type="dxa"/>
            <w:right w:w="108" w:type="dxa"/>
          </w:tblCellMar>
        </w:tblPrEx>
        <w:trPr>
          <w:trHeight w:val="576" w:hRule="atLeast"/>
        </w:trPr>
        <w:tc>
          <w:tcPr>
            <w:tcW w:w="928" w:type="pct"/>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2"/>
              </w:rPr>
            </w:pP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安全巡检</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定期检查系统及服务器日期情况</w:t>
            </w:r>
            <w:r>
              <w:rPr>
                <w:rFonts w:hint="eastAsia" w:ascii="宋体" w:hAnsi="宋体" w:eastAsia="宋体" w:cs="宋体"/>
                <w:color w:val="000000"/>
                <w:kern w:val="0"/>
                <w:szCs w:val="21"/>
              </w:rPr>
              <w:t>，及时发现可疑的攻击行为，并做出相应的防范措施</w:t>
            </w:r>
            <w:r>
              <w:rPr>
                <w:rFonts w:hint="eastAsia" w:ascii="宋体" w:hAnsi="宋体" w:eastAsia="宋体" w:cs="宋体"/>
                <w:color w:val="000000"/>
                <w:kern w:val="0"/>
                <w:sz w:val="22"/>
              </w:rPr>
              <w:t>。</w:t>
            </w:r>
          </w:p>
        </w:tc>
      </w:tr>
      <w:tr>
        <w:tblPrEx>
          <w:tblCellMar>
            <w:top w:w="0" w:type="dxa"/>
            <w:left w:w="108" w:type="dxa"/>
            <w:bottom w:w="0" w:type="dxa"/>
            <w:right w:w="108" w:type="dxa"/>
          </w:tblCellMar>
        </w:tblPrEx>
        <w:trPr>
          <w:trHeight w:val="288" w:hRule="atLeast"/>
        </w:trPr>
        <w:tc>
          <w:tcPr>
            <w:tcW w:w="928"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b/>
                <w:bCs/>
                <w:color w:val="000000"/>
                <w:kern w:val="0"/>
                <w:sz w:val="22"/>
              </w:rPr>
            </w:pPr>
            <w:r>
              <w:rPr>
                <w:rFonts w:hint="eastAsia" w:ascii="宋体" w:hAnsi="宋体" w:eastAsia="宋体" w:cs="宋体"/>
                <w:b/>
                <w:bCs/>
                <w:color w:val="000000"/>
                <w:kern w:val="0"/>
                <w:sz w:val="22"/>
              </w:rPr>
              <w:t>应急响应服务</w:t>
            </w: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系统及信息安全应急响应</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提供应急响应服务、安全演练服务、节假日保障服务。</w:t>
            </w:r>
          </w:p>
        </w:tc>
      </w:tr>
      <w:tr>
        <w:tblPrEx>
          <w:tblCellMar>
            <w:top w:w="0" w:type="dxa"/>
            <w:left w:w="108" w:type="dxa"/>
            <w:bottom w:w="0" w:type="dxa"/>
            <w:right w:w="108" w:type="dxa"/>
          </w:tblCellMar>
        </w:tblPrEx>
        <w:trPr>
          <w:trHeight w:val="288" w:hRule="atLeast"/>
        </w:trPr>
        <w:tc>
          <w:tcPr>
            <w:tcW w:w="928"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b/>
                <w:bCs/>
                <w:color w:val="000000"/>
                <w:kern w:val="0"/>
                <w:sz w:val="22"/>
              </w:rPr>
            </w:pPr>
            <w:r>
              <w:rPr>
                <w:rFonts w:hint="eastAsia" w:ascii="宋体" w:hAnsi="宋体" w:eastAsia="宋体" w:cs="宋体"/>
                <w:b/>
                <w:bCs/>
                <w:color w:val="000000"/>
                <w:kern w:val="0"/>
                <w:sz w:val="22"/>
              </w:rPr>
              <w:t>问题解答及指导</w:t>
            </w:r>
          </w:p>
        </w:tc>
        <w:tc>
          <w:tcPr>
            <w:tcW w:w="863"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问题解答及技术咨询</w:t>
            </w:r>
          </w:p>
        </w:tc>
        <w:tc>
          <w:tcPr>
            <w:tcW w:w="3209" w:type="pct"/>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QQ群及电话问题解答，提供运维人员</w:t>
            </w:r>
            <w:r>
              <w:rPr>
                <w:rFonts w:hint="eastAsia" w:ascii="宋体" w:hAnsi="宋体" w:eastAsia="宋体" w:cs="宋体"/>
                <w:color w:val="000000"/>
                <w:kern w:val="0"/>
                <w:szCs w:val="21"/>
              </w:rPr>
              <w:t>24小时电话服务及其他相关技术服务</w:t>
            </w:r>
            <w:r>
              <w:rPr>
                <w:rFonts w:hint="eastAsia" w:ascii="宋体" w:hAnsi="宋体" w:eastAsia="宋体" w:cs="宋体"/>
                <w:color w:val="000000"/>
                <w:kern w:val="0"/>
                <w:sz w:val="22"/>
              </w:rPr>
              <w:t>。</w:t>
            </w:r>
          </w:p>
        </w:tc>
      </w:tr>
    </w:tbl>
    <w:p>
      <w:pPr>
        <w:pStyle w:val="5"/>
        <w:wordWrap w:val="0"/>
        <w:spacing w:before="0" w:beforeAutospacing="0" w:after="0" w:afterAutospacing="0" w:line="600" w:lineRule="atLeast"/>
        <w:ind w:firstLine="640"/>
        <w:rPr>
          <w:rFonts w:hint="eastAsia" w:ascii="微软雅黑" w:hAnsi="微软雅黑" w:eastAsia="微软雅黑"/>
          <w:sz w:val="23"/>
          <w:szCs w:val="23"/>
        </w:rPr>
      </w:pPr>
      <w:r>
        <w:rPr>
          <w:rFonts w:hint="eastAsia" w:ascii="黑体" w:hAnsi="黑体" w:eastAsia="黑体"/>
          <w:sz w:val="32"/>
          <w:szCs w:val="32"/>
        </w:rPr>
        <w:t>四、报价人资质要求</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（一）参与报价的供应商须为具有独立承担民事责任能力的、在中华人民共和国境内注册的法人或其他组织。</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（二）报价人的营业执照中规定的经营范围必须包括本次采购的项目，且报价人有能力完成项目的全部要求。</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（三）不接受联合体报价。</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（四）报价人存在以下不良信用记录情形之一的，不得推荐为中标候选人：</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1.被人民法院列入失信被执行人的；</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2.被市场监督管理部门列入企业经营异常名录的；</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3.在国家企业信用信息公示系统中有行政处罚记录并且被列入经营异常名录的；</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4.被税务部门列入重大税收违法案件当事人名单的；</w:t>
      </w:r>
    </w:p>
    <w:p>
      <w:pPr>
        <w:pStyle w:val="5"/>
        <w:wordWrap w:val="0"/>
        <w:spacing w:before="0" w:beforeAutospacing="0" w:after="0" w:afterAutospacing="0" w:line="600" w:lineRule="atLeast"/>
        <w:ind w:firstLine="640"/>
        <w:rPr>
          <w:rFonts w:hint="eastAsia" w:ascii="仿宋_GB2312" w:hAnsi="微软雅黑" w:eastAsia="仿宋_GB2312"/>
          <w:sz w:val="32"/>
          <w:szCs w:val="32"/>
        </w:rPr>
      </w:pPr>
      <w:r>
        <w:rPr>
          <w:rFonts w:hint="eastAsia" w:ascii="仿宋_GB2312" w:hAnsi="微软雅黑" w:eastAsia="仿宋_GB2312"/>
          <w:sz w:val="32"/>
          <w:szCs w:val="32"/>
        </w:rPr>
        <w:t>5.被政府采购监管部门列入政府采购严重违法失信行为记录名单的。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4YTAyODIzNjVmOGU4ZWE4Y2VmNzI0MzA4MmExYzQifQ=="/>
  </w:docVars>
  <w:rsids>
    <w:rsidRoot w:val="00DF4F2D"/>
    <w:rsid w:val="00040DED"/>
    <w:rsid w:val="0015347A"/>
    <w:rsid w:val="00195D11"/>
    <w:rsid w:val="001F2465"/>
    <w:rsid w:val="00223717"/>
    <w:rsid w:val="00235E51"/>
    <w:rsid w:val="002A560B"/>
    <w:rsid w:val="00324FF5"/>
    <w:rsid w:val="0036169B"/>
    <w:rsid w:val="003770F1"/>
    <w:rsid w:val="0037790E"/>
    <w:rsid w:val="003A3DDF"/>
    <w:rsid w:val="003C180F"/>
    <w:rsid w:val="004337B7"/>
    <w:rsid w:val="00436925"/>
    <w:rsid w:val="00436A39"/>
    <w:rsid w:val="0045281C"/>
    <w:rsid w:val="004A5F6D"/>
    <w:rsid w:val="004B468A"/>
    <w:rsid w:val="004E33DC"/>
    <w:rsid w:val="004F3657"/>
    <w:rsid w:val="005A588A"/>
    <w:rsid w:val="006137EB"/>
    <w:rsid w:val="006354F0"/>
    <w:rsid w:val="00696851"/>
    <w:rsid w:val="006A7147"/>
    <w:rsid w:val="006C0ED0"/>
    <w:rsid w:val="00753B43"/>
    <w:rsid w:val="00754623"/>
    <w:rsid w:val="00762B6F"/>
    <w:rsid w:val="007A1362"/>
    <w:rsid w:val="007B48D2"/>
    <w:rsid w:val="007D1594"/>
    <w:rsid w:val="007D31B3"/>
    <w:rsid w:val="007E0A5E"/>
    <w:rsid w:val="007F06FC"/>
    <w:rsid w:val="007F0A44"/>
    <w:rsid w:val="00804374"/>
    <w:rsid w:val="008435E8"/>
    <w:rsid w:val="0085261A"/>
    <w:rsid w:val="0086712E"/>
    <w:rsid w:val="00867148"/>
    <w:rsid w:val="008678A9"/>
    <w:rsid w:val="00884497"/>
    <w:rsid w:val="008D5154"/>
    <w:rsid w:val="008E0F28"/>
    <w:rsid w:val="008E15C6"/>
    <w:rsid w:val="008F4D43"/>
    <w:rsid w:val="008F72D1"/>
    <w:rsid w:val="00920E6C"/>
    <w:rsid w:val="009300BE"/>
    <w:rsid w:val="009C5706"/>
    <w:rsid w:val="009C5FC8"/>
    <w:rsid w:val="009F2B26"/>
    <w:rsid w:val="00A52500"/>
    <w:rsid w:val="00B53C89"/>
    <w:rsid w:val="00B624DC"/>
    <w:rsid w:val="00B77808"/>
    <w:rsid w:val="00BF01F7"/>
    <w:rsid w:val="00C44F30"/>
    <w:rsid w:val="00C678AE"/>
    <w:rsid w:val="00C709F6"/>
    <w:rsid w:val="00CF4819"/>
    <w:rsid w:val="00D26AF9"/>
    <w:rsid w:val="00D55C13"/>
    <w:rsid w:val="00DA13C1"/>
    <w:rsid w:val="00DE4E26"/>
    <w:rsid w:val="00DE7ED4"/>
    <w:rsid w:val="00DF4F2D"/>
    <w:rsid w:val="00E46F8D"/>
    <w:rsid w:val="00E607AD"/>
    <w:rsid w:val="00E8772E"/>
    <w:rsid w:val="00F03D87"/>
    <w:rsid w:val="00F111F8"/>
    <w:rsid w:val="00F23610"/>
    <w:rsid w:val="00F86AEC"/>
    <w:rsid w:val="00FC467C"/>
    <w:rsid w:val="00FF57D9"/>
    <w:rsid w:val="21313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1 字符"/>
    <w:basedOn w:val="7"/>
    <w:link w:val="2"/>
    <w:uiPriority w:val="9"/>
    <w:rPr>
      <w:rFonts w:ascii="宋体" w:hAnsi="宋体" w:eastAsia="宋体" w:cs="宋体"/>
      <w:b/>
      <w:bCs/>
      <w:kern w:val="36"/>
      <w:sz w:val="48"/>
      <w:szCs w:val="48"/>
    </w:rPr>
  </w:style>
  <w:style w:type="character" w:customStyle="1" w:styleId="9">
    <w:name w:val="页眉 字符"/>
    <w:basedOn w:val="7"/>
    <w:link w:val="4"/>
    <w:uiPriority w:val="99"/>
    <w:rPr>
      <w:sz w:val="18"/>
      <w:szCs w:val="18"/>
    </w:rPr>
  </w:style>
  <w:style w:type="character" w:customStyle="1" w:styleId="10">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188</Words>
  <Characters>1077</Characters>
  <Lines>8</Lines>
  <Paragraphs>2</Paragraphs>
  <TotalTime>2</TotalTime>
  <ScaleCrop>false</ScaleCrop>
  <LinksUpToDate>false</LinksUpToDate>
  <CharactersWithSpaces>1263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2024-09-29T07:41:00Z</dcterms:created>
  <dc:creator>彭 伟</dc:creator>
  <cp:lastModifiedBy>王翰</cp:lastModifiedBy>
  <dcterms:modified xsi:type="dcterms:W3CDTF">2024-09-29T07:45:51Z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98B18DCC530A49C8AA842898357A9133_12</vt:lpwstr>
  </property>
</Properties>
</file>